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DE" w:rsidRDefault="009C28CB" w:rsidP="009C28C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bookmarkStart w:id="0" w:name="_GoBack"/>
      <w:bookmarkEnd w:id="0"/>
      <w:r>
        <w:rPr>
          <w:rFonts w:eastAsia="Calibri" w:cs="Times New Roman"/>
          <w:sz w:val="16"/>
          <w:szCs w:val="16"/>
        </w:rPr>
        <w:t xml:space="preserve"> </w:t>
      </w:r>
      <w:r w:rsidR="009A0A00">
        <w:rPr>
          <w:rFonts w:eastAsia="Calibri" w:cs="Times New Roman"/>
          <w:sz w:val="16"/>
          <w:szCs w:val="16"/>
        </w:rPr>
        <w:t xml:space="preserve">                   </w:t>
      </w:r>
      <w:r w:rsidR="002362DE">
        <w:rPr>
          <w:rFonts w:eastAsia="Calibri" w:cs="Times New Roman"/>
          <w:sz w:val="16"/>
          <w:szCs w:val="16"/>
        </w:rPr>
        <w:t xml:space="preserve">          </w:t>
      </w:r>
      <w:r w:rsidR="002362DE" w:rsidRPr="00991A93">
        <w:rPr>
          <w:noProof/>
          <w:lang w:eastAsia="lv-LV"/>
        </w:rPr>
        <w:drawing>
          <wp:inline distT="0" distB="0" distL="0" distR="0" wp14:anchorId="3C3C306D" wp14:editId="6C1A88F5">
            <wp:extent cx="4466091" cy="1180800"/>
            <wp:effectExtent l="0" t="0" r="0" b="635"/>
            <wp:docPr id="1" name="Picture 1" descr="C:\Users\alona.pavlova\Desktop\Ekrānuzņēmums 2021-02-16 120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ona.pavlova\Desktop\Ekrānuzņēmums 2021-02-16 1209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91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DE" w:rsidRPr="00D672A6" w:rsidRDefault="002362DE" w:rsidP="002362DE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A25D72" w:rsidRPr="00D672A6" w:rsidRDefault="00A25D72" w:rsidP="00A25D72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31DBBC03" wp14:editId="55C894E2">
                <wp:simplePos x="0" y="0"/>
                <wp:positionH relativeFrom="column">
                  <wp:posOffset>876935</wp:posOffset>
                </wp:positionH>
                <wp:positionV relativeFrom="paragraph">
                  <wp:posOffset>33654</wp:posOffset>
                </wp:positionV>
                <wp:extent cx="4398645" cy="0"/>
                <wp:effectExtent l="0" t="0" r="1905" b="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12" name="Taisns savienotāj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E9570" id="Taisns savienotājs 16" o:spid="_x0000_s1026" style="position:absolute;flip:y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9.05pt,2.65pt" to="415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" strokecolor="windowText" strokeweight=".25pt">
                <o:lock v:ext="edit" shapetype="f"/>
                <w10:wrap type="tight"/>
              </v:line>
            </w:pict>
          </mc:Fallback>
        </mc:AlternateContent>
      </w:r>
    </w:p>
    <w:p w:rsidR="00A25D72" w:rsidRPr="00D672A6" w:rsidRDefault="00A25D72" w:rsidP="00A25D72">
      <w:pPr>
        <w:spacing w:after="0" w:line="240" w:lineRule="auto"/>
        <w:jc w:val="center"/>
        <w:rPr>
          <w:rFonts w:eastAsia="Calibri" w:cs="Times New Roman"/>
          <w:sz w:val="11"/>
          <w:szCs w:val="11"/>
        </w:rPr>
      </w:pPr>
    </w:p>
    <w:p w:rsidR="00A25D72" w:rsidRPr="00D672A6" w:rsidRDefault="00A25D72" w:rsidP="00A25D72">
      <w:pPr>
        <w:spacing w:after="0" w:line="276" w:lineRule="auto"/>
        <w:ind w:right="-619"/>
        <w:jc w:val="center"/>
        <w:rPr>
          <w:rFonts w:ascii="Times New Roman" w:eastAsia="Calibri" w:hAnsi="Times New Roman" w:cs="Times New Roman"/>
          <w:color w:val="0000FF"/>
          <w:sz w:val="17"/>
          <w:szCs w:val="17"/>
        </w:rPr>
      </w:pPr>
      <w:r w:rsidRPr="00D672A6"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6" w:history="1">
        <w:r w:rsidRPr="00D672A6">
          <w:rPr>
            <w:rFonts w:ascii="Times New Roman" w:eastAsia="Calibri" w:hAnsi="Times New Roman" w:cs="Times New Roman"/>
            <w:color w:val="000000"/>
            <w:sz w:val="17"/>
            <w:szCs w:val="17"/>
          </w:rPr>
          <w:t>kanc@koledza.vp.gov.lv</w:t>
        </w:r>
      </w:hyperlink>
      <w:r w:rsidRPr="00D672A6"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 w:rsidRPr="00D672A6"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7" w:history="1">
        <w:r w:rsidRPr="00D672A6">
          <w:rPr>
            <w:rFonts w:ascii="Times New Roman" w:eastAsia="Calibri" w:hAnsi="Times New Roman" w:cs="Times New Roman"/>
            <w:color w:val="0000FF"/>
            <w:sz w:val="17"/>
            <w:szCs w:val="17"/>
          </w:rPr>
          <w:t>www.policijas.koledza.gov.lv</w:t>
        </w:r>
      </w:hyperlink>
    </w:p>
    <w:p w:rsidR="00A25D72" w:rsidRDefault="00A25D72" w:rsidP="002362D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A25D72" w:rsidRPr="00A25D72" w:rsidRDefault="009A0A00" w:rsidP="009A0A00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b/>
          <w:color w:val="0D0D0D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 xml:space="preserve">                                             </w:t>
      </w:r>
      <w:r w:rsidR="00A25D72" w:rsidRPr="00A25D7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IEKŠĒJIE NOTEIKUMI</w:t>
      </w:r>
    </w:p>
    <w:p w:rsidR="00A25D72" w:rsidRDefault="009A0A00" w:rsidP="009A0A00">
      <w:pPr>
        <w:tabs>
          <w:tab w:val="left" w:pos="4536"/>
          <w:tab w:val="left" w:pos="5670"/>
        </w:tabs>
        <w:spacing w:after="120" w:line="100" w:lineRule="atLeast"/>
        <w:ind w:right="-483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                                                                      </w:t>
      </w:r>
      <w:r w:rsidR="00A25D72" w:rsidRPr="00384D32"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Rīgā </w:t>
      </w:r>
    </w:p>
    <w:p w:rsidR="00A25D72" w:rsidRPr="00A25D72" w:rsidRDefault="00A25D72" w:rsidP="002362D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3794"/>
        <w:gridCol w:w="5386"/>
      </w:tblGrid>
      <w:tr w:rsidR="00A25D72" w:rsidRPr="00A25D72" w:rsidTr="00651D38">
        <w:trPr>
          <w:trHeight w:val="739"/>
        </w:trPr>
        <w:tc>
          <w:tcPr>
            <w:tcW w:w="3794" w:type="dxa"/>
            <w:shd w:val="clear" w:color="auto" w:fill="auto"/>
          </w:tcPr>
          <w:p w:rsidR="00A25D72" w:rsidRPr="00A25D72" w:rsidRDefault="00A25D72" w:rsidP="008B5639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A25D72">
              <w:rPr>
                <w:rFonts w:ascii="Times New Roman" w:eastAsia="Times New Roman" w:hAnsi="Times New Roman" w:cs="Times New Roman"/>
                <w:sz w:val="28"/>
                <w:szCs w:val="28"/>
              </w:rPr>
              <w:t>22.02.2021</w:t>
            </w:r>
            <w:r w:rsidRPr="00A25D7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:rsidR="00A25D72" w:rsidRPr="00A25D72" w:rsidRDefault="00A25D72" w:rsidP="008B5639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A25D72" w:rsidRPr="00A25D72" w:rsidRDefault="00A25D72" w:rsidP="008B5639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A25D72" w:rsidRPr="00A25D72" w:rsidRDefault="00A25D72" w:rsidP="008B5639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 w:rsidRPr="00A25D72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Nr.</w:t>
            </w:r>
            <w:r w:rsidRPr="00A25D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A25D72" w:rsidRPr="00A25D72" w:rsidRDefault="00A25D72" w:rsidP="008B5639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651D38" w:rsidRPr="00C72566" w:rsidRDefault="00651D38" w:rsidP="00651D38">
      <w:pPr>
        <w:spacing w:after="120" w:line="100" w:lineRule="atLeast"/>
        <w:ind w:left="135" w:right="-477"/>
        <w:jc w:val="center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Grozījum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i Valsts policijas koledžas 2015.gada 18</w:t>
      </w:r>
      <w:r w:rsidRPr="00C72566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maija iekšējos noteikumos Nr.12 “</w:t>
      </w:r>
      <w:r w:rsidRPr="003E13A1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Kvalifikācijas eksāmena norises kārtība Valsts policijas koledžas arodizglītīb</w:t>
      </w:r>
      <w:r>
        <w:rPr>
          <w:rFonts w:ascii="Times New Roman" w:eastAsia="Calibri" w:hAnsi="Times New Roman" w:cs="Times New Roman"/>
          <w:b/>
          <w:color w:val="0D0D0D"/>
          <w:sz w:val="28"/>
          <w:szCs w:val="28"/>
        </w:rPr>
        <w:t>as programmā „Policijas darbs””</w:t>
      </w:r>
    </w:p>
    <w:p w:rsidR="00651D38" w:rsidRPr="00C72566" w:rsidRDefault="00651D38" w:rsidP="00651D38">
      <w:pPr>
        <w:tabs>
          <w:tab w:val="left" w:pos="5387"/>
        </w:tabs>
        <w:spacing w:after="120" w:line="100" w:lineRule="atLeast"/>
        <w:ind w:right="-483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</w:p>
    <w:p w:rsidR="00651D38" w:rsidRPr="00C72566" w:rsidRDefault="00651D38" w:rsidP="00651D38">
      <w:pPr>
        <w:tabs>
          <w:tab w:val="left" w:pos="4962"/>
        </w:tabs>
        <w:spacing w:after="0" w:line="100" w:lineRule="atLeast"/>
        <w:ind w:left="1560" w:right="-2" w:hanging="1560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ab/>
      </w: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ab/>
        <w:t>Izdoti saskaņā ar</w:t>
      </w:r>
    </w:p>
    <w:p w:rsidR="00651D38" w:rsidRPr="00C72566" w:rsidRDefault="00651D38" w:rsidP="00651D38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>Valsts pārvaldes iekārtas likuma</w:t>
      </w:r>
    </w:p>
    <w:p w:rsidR="00651D38" w:rsidRPr="00C72566" w:rsidRDefault="00651D38" w:rsidP="00651D38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Calibri" w:hAnsi="Times New Roman" w:cs="Times New Roman"/>
          <w:color w:val="0D0D0D"/>
          <w:sz w:val="28"/>
          <w:szCs w:val="28"/>
        </w:rPr>
        <w:t xml:space="preserve">72. panta pirmās daļas 2. punktu  </w:t>
      </w:r>
    </w:p>
    <w:p w:rsidR="00651D38" w:rsidRPr="00C72566" w:rsidRDefault="00651D38" w:rsidP="00651D38">
      <w:pPr>
        <w:tabs>
          <w:tab w:val="left" w:pos="4962"/>
        </w:tabs>
        <w:spacing w:after="0" w:line="100" w:lineRule="atLeast"/>
        <w:ind w:left="1559" w:right="-2" w:hanging="1559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Times New Roman" w:hAnsi="Times New Roman" w:cs="Times New Roman"/>
          <w:color w:val="0D0D0D"/>
          <w:sz w:val="28"/>
          <w:szCs w:val="28"/>
        </w:rPr>
        <w:br/>
      </w:r>
    </w:p>
    <w:p w:rsidR="00651D38" w:rsidRPr="00C72566" w:rsidRDefault="00651D38" w:rsidP="00651D3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C72566">
        <w:rPr>
          <w:rFonts w:ascii="Times New Roman" w:eastAsia="Times New Roman" w:hAnsi="Times New Roman" w:cs="Times New Roman"/>
          <w:color w:val="0D0D0D"/>
          <w:sz w:val="28"/>
          <w:szCs w:val="28"/>
        </w:rPr>
        <w:t>Izdarī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t Valsts policijas koledžas </w:t>
      </w:r>
      <w:r w:rsidRPr="003E13A1">
        <w:rPr>
          <w:rFonts w:ascii="Times New Roman" w:eastAsia="Times New Roman" w:hAnsi="Times New Roman" w:cs="Times New Roman"/>
          <w:color w:val="0D0D0D"/>
          <w:sz w:val="28"/>
          <w:szCs w:val="28"/>
        </w:rPr>
        <w:t>2015.gada 18.maija iekšējos noteikumos Nr.12 “Kvalifikācijas eksāmena norises kārtība Valsts policijas koledžas arodizglītības programmā „Policijas darbs””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</w:t>
      </w:r>
      <w:r w:rsidRPr="00C72566">
        <w:rPr>
          <w:rFonts w:ascii="Times New Roman" w:eastAsia="Times New Roman" w:hAnsi="Times New Roman" w:cs="Times New Roman"/>
          <w:color w:val="0D0D0D"/>
          <w:sz w:val="28"/>
          <w:szCs w:val="28"/>
        </w:rPr>
        <w:t>(turpmāk – iekšējie noteikumi) šādus grozījumus:</w:t>
      </w:r>
    </w:p>
    <w:p w:rsidR="00651D38" w:rsidRPr="00C72566" w:rsidRDefault="00651D38" w:rsidP="00651D38">
      <w:pPr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51D38" w:rsidRPr="003E13A1" w:rsidRDefault="00651D38" w:rsidP="00651D3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trike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Izteikt 2.punktu</w:t>
      </w:r>
      <w:r w:rsidRPr="00C725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šādā redakcijā:</w:t>
      </w:r>
    </w:p>
    <w:p w:rsidR="00651D38" w:rsidRPr="006C493C" w:rsidRDefault="00651D38" w:rsidP="00651D38">
      <w:pPr>
        <w:pStyle w:val="ListParagraph"/>
        <w:ind w:left="1069"/>
        <w:jc w:val="both"/>
        <w:rPr>
          <w:rFonts w:ascii="Times New Roman" w:eastAsia="Times New Roman" w:hAnsi="Times New Roman" w:cs="Times New Roman"/>
          <w:strike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“2. </w:t>
      </w:r>
      <w:r w:rsidRPr="003E13A1">
        <w:rPr>
          <w:rFonts w:ascii="Times New Roman" w:hAnsi="Times New Roman" w:cs="Times New Roman"/>
          <w:sz w:val="28"/>
          <w:szCs w:val="28"/>
        </w:rPr>
        <w:t>Kvalifikācijas eksāmenu kārto izglītojamie, kuri sekmīgi apguvuši arodizglītības programmas saturu</w:t>
      </w:r>
      <w:r>
        <w:rPr>
          <w:rFonts w:ascii="Times New Roman" w:hAnsi="Times New Roman" w:cs="Times New Roman"/>
          <w:sz w:val="28"/>
          <w:szCs w:val="28"/>
        </w:rPr>
        <w:t xml:space="preserve"> un izpildījuši šo iekšējo noteikumu 2.</w:t>
      </w:r>
      <w:r w:rsidRPr="003E13A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E13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punktā noteiktās prasības, </w:t>
      </w:r>
      <w:r w:rsidRPr="003E13A1">
        <w:rPr>
          <w:rFonts w:ascii="Times New Roman" w:hAnsi="Times New Roman" w:cs="Times New Roman"/>
          <w:sz w:val="28"/>
          <w:szCs w:val="28"/>
        </w:rPr>
        <w:t>un pe</w:t>
      </w:r>
      <w:r>
        <w:rPr>
          <w:rFonts w:ascii="Times New Roman" w:hAnsi="Times New Roman" w:cs="Times New Roman"/>
          <w:sz w:val="28"/>
          <w:szCs w:val="28"/>
        </w:rPr>
        <w:t>rsonas, kuras vēlas novērtēt to</w:t>
      </w:r>
      <w:r w:rsidRPr="003E13A1">
        <w:rPr>
          <w:rFonts w:ascii="Times New Roman" w:hAnsi="Times New Roman" w:cs="Times New Roman"/>
          <w:sz w:val="28"/>
          <w:szCs w:val="28"/>
        </w:rPr>
        <w:t xml:space="preserve"> ārpus formālās izglītības sistēmas apgūto profesionālo kompetenci (turpmāk – profesionālā kompetence) (turpmāk – eksaminējamais)</w:t>
      </w:r>
      <w:r w:rsidRPr="00C72566">
        <w:rPr>
          <w:rFonts w:ascii="Times New Roman" w:hAnsi="Times New Roman" w:cs="Times New Roman"/>
          <w:sz w:val="28"/>
          <w:szCs w:val="28"/>
        </w:rPr>
        <w:t>”.</w:t>
      </w:r>
    </w:p>
    <w:p w:rsidR="00651D38" w:rsidRPr="004E6DD0" w:rsidRDefault="00651D38" w:rsidP="00651D3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trike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Papildināt iekšējos noteikumus ar 2.</w:t>
      </w:r>
      <w:r w:rsidRPr="003E13A1">
        <w:rPr>
          <w:rFonts w:ascii="Times New Roman" w:eastAsia="Times New Roman" w:hAnsi="Times New Roman" w:cs="Times New Roman"/>
          <w:color w:val="0D0D0D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punktu šādā redakcijā: </w:t>
      </w:r>
    </w:p>
    <w:p w:rsidR="00651D38" w:rsidRDefault="00651D38" w:rsidP="00651D38">
      <w:pPr>
        <w:pStyle w:val="ListParagraph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4E6DD0">
        <w:rPr>
          <w:rFonts w:ascii="Times New Roman" w:eastAsia="Times New Roman" w:hAnsi="Times New Roman" w:cs="Times New Roman"/>
          <w:color w:val="0D0D0D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2.</w:t>
      </w:r>
      <w:r w:rsidRPr="003E13A1">
        <w:rPr>
          <w:rFonts w:ascii="Times New Roman" w:eastAsia="Times New Roman" w:hAnsi="Times New Roman" w:cs="Times New Roman"/>
          <w:color w:val="0D0D0D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Kvalifikācijas eksāmenu atļauts kārtot tikai tiem izglītojamajiem, kuri </w:t>
      </w:r>
      <w:r w:rsidRPr="003E13A1">
        <w:rPr>
          <w:rFonts w:ascii="Times New Roman" w:hAnsi="Times New Roman" w:cs="Times New Roman"/>
          <w:sz w:val="28"/>
          <w:szCs w:val="28"/>
        </w:rPr>
        <w:t>mācību priekšmetos un kvalifikācijas praksē saņēmuši</w:t>
      </w:r>
      <w:r>
        <w:rPr>
          <w:rFonts w:ascii="Times New Roman" w:hAnsi="Times New Roman" w:cs="Times New Roman"/>
          <w:sz w:val="28"/>
          <w:szCs w:val="28"/>
        </w:rPr>
        <w:t xml:space="preserve"> vismaz šādu </w:t>
      </w:r>
      <w:r w:rsidRPr="003E13A1">
        <w:rPr>
          <w:rFonts w:ascii="Times New Roman" w:hAnsi="Times New Roman" w:cs="Times New Roman"/>
          <w:sz w:val="28"/>
          <w:szCs w:val="28"/>
        </w:rPr>
        <w:t>galīgo vērtējumu</w:t>
      </w:r>
      <w:r>
        <w:rPr>
          <w:rFonts w:ascii="Times New Roman" w:hAnsi="Times New Roman" w:cs="Times New Roman"/>
          <w:sz w:val="28"/>
          <w:szCs w:val="28"/>
        </w:rPr>
        <w:t xml:space="preserve"> 10 ballu skalā: 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A1">
        <w:rPr>
          <w:rFonts w:ascii="Times New Roman" w:hAnsi="Times New Roman" w:cs="Times New Roman"/>
          <w:sz w:val="28"/>
          <w:szCs w:val="28"/>
        </w:rPr>
        <w:t>Lietišķā latviešu valoda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 – 4</w:t>
      </w:r>
      <w:r w:rsidRPr="008E110B">
        <w:rPr>
          <w:rFonts w:ascii="Times New Roman" w:hAnsi="Times New Roman" w:cs="Times New Roman"/>
          <w:sz w:val="28"/>
          <w:szCs w:val="28"/>
        </w:rPr>
        <w:t xml:space="preserve"> – </w:t>
      </w:r>
      <w:r w:rsidRPr="00E102FB">
        <w:rPr>
          <w:rFonts w:ascii="Times New Roman" w:hAnsi="Times New Roman" w:cs="Times New Roman"/>
          <w:sz w:val="28"/>
          <w:szCs w:val="28"/>
        </w:rPr>
        <w:t>“gandrīz 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A1">
        <w:rPr>
          <w:rFonts w:ascii="Times New Roman" w:hAnsi="Times New Roman" w:cs="Times New Roman"/>
          <w:sz w:val="28"/>
          <w:szCs w:val="28"/>
        </w:rPr>
        <w:t>Svešvaloda (angļu)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oftHyphen/>
        <w:t>– 4</w:t>
      </w:r>
      <w:r w:rsidRPr="008E110B">
        <w:rPr>
          <w:rFonts w:ascii="Times New Roman" w:hAnsi="Times New Roman" w:cs="Times New Roman"/>
          <w:sz w:val="28"/>
          <w:szCs w:val="28"/>
        </w:rPr>
        <w:t xml:space="preserve"> – </w:t>
      </w:r>
      <w:r w:rsidRPr="00E102FB">
        <w:rPr>
          <w:rFonts w:ascii="Times New Roman" w:hAnsi="Times New Roman" w:cs="Times New Roman"/>
          <w:sz w:val="28"/>
          <w:szCs w:val="28"/>
        </w:rPr>
        <w:t>“gandrīz 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lastRenderedPageBreak/>
        <w:t>Otrā svešvaloda (krievu</w:t>
      </w:r>
      <w:r>
        <w:rPr>
          <w:rFonts w:ascii="Times New Roman" w:hAnsi="Times New Roman" w:cs="Times New Roman"/>
          <w:sz w:val="28"/>
          <w:szCs w:val="28"/>
        </w:rPr>
        <w:t>) – 4</w:t>
      </w:r>
      <w:r w:rsidRPr="008E110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E102FB">
        <w:rPr>
          <w:rFonts w:ascii="Times New Roman" w:hAnsi="Times New Roman" w:cs="Times New Roman"/>
          <w:sz w:val="28"/>
          <w:szCs w:val="28"/>
        </w:rPr>
        <w:t>gandrīz 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Saskarsmes psiholoģija – 5 – “viduvēji”;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Datormācība – 5 – “viduvēji”;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 xml:space="preserve">Tiesību teorijas pamati </w:t>
      </w:r>
      <w:r w:rsidRPr="00725A7D">
        <w:rPr>
          <w:rFonts w:ascii="Times New Roman" w:hAnsi="Times New Roman" w:cs="Times New Roman"/>
          <w:sz w:val="28"/>
          <w:szCs w:val="28"/>
        </w:rPr>
        <w:t>– 5 – “viduvēji”</w:t>
      </w:r>
      <w:r w:rsidRPr="00E102FB"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Krimināltiesību un kriminālprocesa tiesību pamati</w:t>
      </w:r>
      <w:r>
        <w:rPr>
          <w:rFonts w:ascii="Times New Roman" w:hAnsi="Times New Roman" w:cs="Times New Roman"/>
          <w:sz w:val="28"/>
          <w:szCs w:val="28"/>
        </w:rPr>
        <w:t xml:space="preserve"> – 5 – “</w:t>
      </w:r>
      <w:r w:rsidRPr="00E102FB">
        <w:rPr>
          <w:rFonts w:ascii="Times New Roman" w:hAnsi="Times New Roman" w:cs="Times New Roman"/>
          <w:sz w:val="28"/>
          <w:szCs w:val="28"/>
        </w:rPr>
        <w:t>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 xml:space="preserve">Administratīvā pārkāpuma process </w:t>
      </w:r>
      <w:r w:rsidRPr="00725A7D">
        <w:rPr>
          <w:rFonts w:ascii="Times New Roman" w:hAnsi="Times New Roman" w:cs="Times New Roman"/>
          <w:sz w:val="28"/>
          <w:szCs w:val="28"/>
        </w:rPr>
        <w:t>– 5 – “viduvēji”</w:t>
      </w:r>
      <w:r w:rsidRPr="00E102FB"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Kriminālistikas pamati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5A7D">
        <w:rPr>
          <w:rFonts w:ascii="Times New Roman" w:hAnsi="Times New Roman" w:cs="Times New Roman"/>
          <w:sz w:val="28"/>
          <w:szCs w:val="28"/>
        </w:rPr>
        <w:t>– 5 – “viduvēji”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 xml:space="preserve">Ierindas mācība </w:t>
      </w:r>
      <w:r w:rsidRPr="00725A7D">
        <w:rPr>
          <w:rFonts w:ascii="Times New Roman" w:hAnsi="Times New Roman" w:cs="Times New Roman"/>
          <w:sz w:val="28"/>
          <w:szCs w:val="28"/>
        </w:rPr>
        <w:t>– 5 – “viduvēji”</w:t>
      </w:r>
      <w:r w:rsidRPr="00E102FB">
        <w:rPr>
          <w:rFonts w:ascii="Times New Roman" w:hAnsi="Times New Roman" w:cs="Times New Roman"/>
          <w:sz w:val="28"/>
          <w:szCs w:val="28"/>
        </w:rPr>
        <w:t>;</w:t>
      </w:r>
    </w:p>
    <w:p w:rsidR="00651D38" w:rsidRDefault="00651D38" w:rsidP="00651D3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Policijas tiesības</w:t>
      </w:r>
      <w:r>
        <w:rPr>
          <w:rFonts w:ascii="Times New Roman" w:hAnsi="Times New Roman" w:cs="Times New Roman"/>
          <w:sz w:val="28"/>
          <w:szCs w:val="28"/>
        </w:rPr>
        <w:t xml:space="preserve"> – 5 – “</w:t>
      </w:r>
      <w:r w:rsidRPr="00E102FB">
        <w:rPr>
          <w:rFonts w:ascii="Times New Roman" w:hAnsi="Times New Roman" w:cs="Times New Roman"/>
          <w:sz w:val="28"/>
          <w:szCs w:val="28"/>
        </w:rPr>
        <w:t>viduvēji”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Policijas taktika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Šaušanas mācība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Pirmā palīdzība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Uzbrukuma atvairīšana un aizsardzības taktika – 5 – “viduvēji”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Fiziskā sagatavošana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</w:p>
    <w:p w:rsidR="00651D38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Modulis “Sabiedrības un cilvēka drošība</w:t>
      </w:r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1D38" w:rsidRPr="00E102FB" w:rsidRDefault="00651D38" w:rsidP="00651D3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02FB">
        <w:rPr>
          <w:rFonts w:ascii="Times New Roman" w:hAnsi="Times New Roman" w:cs="Times New Roman"/>
          <w:sz w:val="28"/>
          <w:szCs w:val="28"/>
        </w:rPr>
        <w:t>Kvalifikācijas prakse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2FB">
        <w:rPr>
          <w:rFonts w:ascii="Times New Roman" w:hAnsi="Times New Roman" w:cs="Times New Roman"/>
          <w:sz w:val="28"/>
          <w:szCs w:val="28"/>
        </w:rPr>
        <w:t>– 5 – “viduvēji”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:rsidR="00651D38" w:rsidRDefault="00651D38" w:rsidP="00651D38">
      <w:pPr>
        <w:rPr>
          <w:rFonts w:ascii="Times New Roman" w:hAnsi="Times New Roman" w:cs="Times New Roman"/>
          <w:sz w:val="28"/>
          <w:szCs w:val="28"/>
        </w:rPr>
      </w:pPr>
    </w:p>
    <w:p w:rsidR="00651D38" w:rsidRPr="00725A7D" w:rsidRDefault="00651D38" w:rsidP="00651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Saskaņots</w:t>
      </w:r>
      <w:r w:rsidRPr="00725A7D">
        <w:rPr>
          <w:rFonts w:ascii="Times New Roman" w:hAnsi="Times New Roman" w:cs="Times New Roman"/>
          <w:sz w:val="28"/>
          <w:szCs w:val="28"/>
        </w:rPr>
        <w:t xml:space="preserve"> ar Valsts policiju</w:t>
      </w:r>
      <w:r>
        <w:rPr>
          <w:rFonts w:ascii="Times New Roman" w:hAnsi="Times New Roman" w:cs="Times New Roman"/>
          <w:sz w:val="28"/>
          <w:szCs w:val="28"/>
        </w:rPr>
        <w:t xml:space="preserve"> 2021.gada 22.februārī (atzinums Nr. 20/84951</w:t>
      </w:r>
      <w:r w:rsidRPr="00725A7D">
        <w:rPr>
          <w:rFonts w:ascii="Times New Roman" w:hAnsi="Times New Roman" w:cs="Times New Roman"/>
          <w:sz w:val="28"/>
          <w:szCs w:val="28"/>
        </w:rPr>
        <w:t>).</w:t>
      </w:r>
    </w:p>
    <w:p w:rsidR="00651D38" w:rsidRDefault="00651D38" w:rsidP="00651D38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51D38" w:rsidRDefault="00651D38" w:rsidP="00651D38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Direktora p.i.</w:t>
      </w:r>
      <w:r w:rsidRPr="00E704DA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E704DA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  </w:t>
      </w:r>
      <w:r w:rsidRPr="00E704DA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D0D0D"/>
          <w:sz w:val="28"/>
          <w:szCs w:val="28"/>
        </w:rPr>
        <w:t>D.Tarāne</w:t>
      </w:r>
    </w:p>
    <w:p w:rsidR="00651D38" w:rsidRDefault="00651D38" w:rsidP="00651D38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51D38" w:rsidRPr="00E704DA" w:rsidRDefault="00651D38" w:rsidP="00651D38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651D38" w:rsidRPr="00C72566" w:rsidRDefault="00651D38" w:rsidP="00651D38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E704DA">
        <w:rPr>
          <w:rFonts w:ascii="Times New Roman" w:eastAsia="Times New Roman" w:hAnsi="Times New Roman" w:cs="Times New Roman"/>
          <w:sz w:val="28"/>
          <w:szCs w:val="28"/>
        </w:rPr>
        <w:t>ŠIS DOKUMENTS IR PARAKSTĪTS AR DROŠU ELEKTRONISKO PARAKSTU UN SATUR LAIKA ZĪMOGU</w:t>
      </w:r>
    </w:p>
    <w:p w:rsidR="00A25D72" w:rsidRPr="00D672A6" w:rsidRDefault="00A25D72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25D72" w:rsidRDefault="00A25D72" w:rsidP="00A25D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25D72" w:rsidRDefault="00A25D72" w:rsidP="00A25D72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25D72" w:rsidRPr="00D672A6" w:rsidRDefault="00A25D72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25D72" w:rsidRDefault="00A25D72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25D72" w:rsidRDefault="00A25D72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:rsidR="00A25D72" w:rsidRPr="00651D38" w:rsidRDefault="00651D38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1D38">
        <w:rPr>
          <w:rFonts w:ascii="Times New Roman" w:eastAsia="Times New Roman" w:hAnsi="Times New Roman" w:cs="Times New Roman"/>
          <w:color w:val="0D0D0D"/>
          <w:sz w:val="24"/>
          <w:szCs w:val="24"/>
        </w:rPr>
        <w:t>A.Fišere, 67246280</w:t>
      </w:r>
    </w:p>
    <w:p w:rsidR="00651D38" w:rsidRPr="00651D38" w:rsidRDefault="00651D38" w:rsidP="00A25D72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51D38">
        <w:rPr>
          <w:rFonts w:ascii="Times New Roman" w:eastAsia="Times New Roman" w:hAnsi="Times New Roman" w:cs="Times New Roman"/>
          <w:color w:val="0D0D0D"/>
          <w:sz w:val="24"/>
          <w:szCs w:val="24"/>
        </w:rPr>
        <w:t>anita.fisere@koledza.vp.gov.lv</w:t>
      </w:r>
    </w:p>
    <w:p w:rsidR="00651D38" w:rsidRDefault="00651D38">
      <w:pPr>
        <w:suppressAutoHyphens w:val="0"/>
        <w:spacing w:line="259" w:lineRule="auto"/>
      </w:pPr>
      <w:r>
        <w:br w:type="page"/>
      </w:r>
    </w:p>
    <w:p w:rsidR="00651D38" w:rsidRPr="00D672A6" w:rsidRDefault="00651D38" w:rsidP="0065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color w:val="0D0D0D"/>
          <w:sz w:val="28"/>
          <w:szCs w:val="28"/>
        </w:rPr>
        <w:lastRenderedPageBreak/>
        <w:t>NOSŪTĪŠANAS UZDEVUMS:</w:t>
      </w:r>
    </w:p>
    <w:p w:rsidR="003C2235" w:rsidRDefault="003C2235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AN LG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Direktora vietnieks SM</w:t>
      </w:r>
    </w:p>
    <w:p w:rsidR="00651D38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Direktora vietnieks DA</w:t>
      </w:r>
      <w:r w:rsidRPr="00D67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>VPK</w:t>
      </w:r>
      <w:r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IKN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PPN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KN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KinN</w:t>
      </w:r>
      <w:r w:rsidRPr="00D672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FVN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PVN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TZK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PTK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HK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SK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LF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  <w:sz w:val="28"/>
          <w:szCs w:val="28"/>
        </w:rPr>
      </w:pPr>
      <w:r w:rsidRPr="00D672A6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VPK </w:t>
      </w:r>
      <w:r>
        <w:rPr>
          <w:rFonts w:ascii="Times New Roman" w:eastAsia="Times New Roman" w:hAnsi="Times New Roman" w:cs="Times New Roman"/>
          <w:sz w:val="28"/>
          <w:szCs w:val="28"/>
        </w:rPr>
        <w:t>SP</w:t>
      </w:r>
    </w:p>
    <w:p w:rsidR="00651D38" w:rsidRPr="00D672A6" w:rsidRDefault="00651D38" w:rsidP="00651D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1D38" w:rsidRPr="00D672A6" w:rsidRDefault="00651D38" w:rsidP="00651D38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1D38" w:rsidRDefault="00651D38" w:rsidP="00651D38">
      <w:pPr>
        <w:spacing w:after="0" w:line="100" w:lineRule="atLeast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A.Fišere, 67246280</w:t>
      </w:r>
    </w:p>
    <w:p w:rsidR="00651D38" w:rsidRPr="00D672A6" w:rsidRDefault="00651D38" w:rsidP="00651D38">
      <w:pPr>
        <w:spacing w:after="0" w:line="100" w:lineRule="atLeast"/>
        <w:jc w:val="both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anita.fisere@koledza.vp.gov.lv</w:t>
      </w:r>
    </w:p>
    <w:p w:rsidR="00651D38" w:rsidRPr="00D672A6" w:rsidRDefault="00651D38" w:rsidP="00651D38">
      <w:pPr>
        <w:rPr>
          <w:rFonts w:ascii="Times New Roman" w:eastAsia="Calibri" w:hAnsi="Times New Roman" w:cs="Times New Roman"/>
          <w:sz w:val="24"/>
          <w:szCs w:val="24"/>
        </w:rPr>
      </w:pPr>
    </w:p>
    <w:p w:rsidR="00651D38" w:rsidRDefault="00651D38" w:rsidP="00651D38"/>
    <w:p w:rsidR="0085159F" w:rsidRDefault="0085159F"/>
    <w:sectPr w:rsidR="0085159F" w:rsidSect="00A25D72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6E8"/>
    <w:multiLevelType w:val="multilevel"/>
    <w:tmpl w:val="4502EE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F3"/>
    <w:rsid w:val="000445F3"/>
    <w:rsid w:val="001E2F15"/>
    <w:rsid w:val="002362DE"/>
    <w:rsid w:val="003C2235"/>
    <w:rsid w:val="00651D38"/>
    <w:rsid w:val="0085159F"/>
    <w:rsid w:val="009A0A00"/>
    <w:rsid w:val="009C28CB"/>
    <w:rsid w:val="00A00637"/>
    <w:rsid w:val="00A2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252B-AEF9-4BDE-8F60-B557FD0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72"/>
    <w:pPr>
      <w:suppressAutoHyphens/>
      <w:spacing w:line="254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licijas.koledza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skola.vp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Aļona Pavlova</dc:creator>
  <cp:keywords/>
  <dc:description/>
  <cp:lastModifiedBy>Rolands Zariņš</cp:lastModifiedBy>
  <cp:revision>2</cp:revision>
  <dcterms:created xsi:type="dcterms:W3CDTF">2021-05-18T05:33:00Z</dcterms:created>
  <dcterms:modified xsi:type="dcterms:W3CDTF">2021-05-18T05:33:00Z</dcterms:modified>
</cp:coreProperties>
</file>