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720"/>
        <w:jc w:val="end"/>
        <w:rPr>
          <w:color w:themeColor="text1" w:val="000000"/>
        </w:rPr>
      </w:pPr>
      <w:bookmarkStart w:id="0" w:name="588917"/>
      <w:bookmarkEnd w:id="0"/>
      <w:r>
        <w:rPr>
          <w:color w:themeColor="text1" w:val="000000"/>
        </w:rPr>
        <w:t>3. pielikums</w:t>
      </w:r>
    </w:p>
    <w:p>
      <w:pPr>
        <w:pStyle w:val="Normal"/>
        <w:spacing w:lineRule="auto" w:line="240" w:before="0" w:after="0"/>
        <w:ind w:start="720"/>
        <w:jc w:val="end"/>
        <w:rPr>
          <w:color w:themeColor="text1" w:val="000000"/>
        </w:rPr>
      </w:pPr>
      <w:r>
        <w:rPr>
          <w:color w:themeColor="text1" w:val="000000"/>
        </w:rPr>
        <w:t>Ministru kabineta</w:t>
      </w:r>
    </w:p>
    <w:p>
      <w:pPr>
        <w:pStyle w:val="Normal"/>
        <w:spacing w:lineRule="auto" w:line="240" w:before="0" w:after="0"/>
        <w:ind w:start="720"/>
        <w:jc w:val="end"/>
        <w:rPr>
          <w:color w:themeColor="text1" w:val="000000"/>
        </w:rPr>
      </w:pPr>
      <w:r>
        <w:rPr>
          <w:color w:themeColor="text1" w:val="000000"/>
        </w:rPr>
        <w:t>2016. gada 12. aprīļa</w:t>
      </w:r>
    </w:p>
    <w:p>
      <w:pPr>
        <w:pStyle w:val="Normal"/>
        <w:spacing w:lineRule="auto" w:line="240" w:before="0" w:after="0"/>
        <w:ind w:start="720"/>
        <w:jc w:val="end"/>
        <w:rPr>
          <w:rFonts w:ascii="Times New Roman" w:hAnsi="Times New Roman" w:eastAsia="Times New Roman"/>
          <w:b/>
          <w:bCs/>
          <w:color w:themeColor="text1" w:val="000000"/>
          <w:sz w:val="24"/>
          <w:szCs w:val="24"/>
          <w:lang w:eastAsia="lv-LV"/>
        </w:rPr>
      </w:pPr>
      <w:r>
        <w:rPr>
          <w:color w:themeColor="text1" w:val="000000"/>
        </w:rPr>
        <w:t>noteikumiem Nr. 225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themeColor="text1" w:val="000000"/>
          <w:sz w:val="24"/>
          <w:szCs w:val="24"/>
          <w:u w:val="single"/>
          <w:lang w:eastAsia="lv-LV"/>
        </w:rPr>
      </w:pP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u w:val="single"/>
          <w:lang w:eastAsia="lv-LV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themeColor="text1" w:val="000000"/>
          <w:sz w:val="24"/>
          <w:szCs w:val="24"/>
          <w:u w:val="single"/>
          <w:lang w:eastAsia="lv-LV"/>
        </w:rPr>
      </w:pP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u w:val="single"/>
          <w:lang w:eastAsia="lv-LV"/>
        </w:rPr>
        <w:t>Informācija par piemaksām, prēmijām, naudas balvām, sociālajām garantijām un to noteikšanas kritērijiem institūcijā</w:t>
      </w:r>
    </w:p>
    <w:p>
      <w:pPr>
        <w:pStyle w:val="Normal"/>
        <w:spacing w:lineRule="auto" w:line="360" w:beforeAutospacing="1" w:afterAutospacing="1"/>
        <w:ind w:firstLine="300"/>
        <w:jc w:val="end"/>
        <w:rPr>
          <w:rFonts w:ascii="Times New Roman" w:hAnsi="Times New Roman" w:eastAsia="Times New Roman" w:cs="Times New Roman"/>
          <w:color w:themeColor="text1" w:val="000000"/>
          <w:sz w:val="24"/>
          <w:szCs w:val="24"/>
          <w:u w:val="single"/>
          <w:lang w:eastAsia="lv-LV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u w:val="single"/>
          <w:lang w:eastAsia="lv-LV"/>
        </w:rPr>
        <w:t>1. tabula</w:t>
      </w:r>
    </w:p>
    <w:p>
      <w:pPr>
        <w:pStyle w:val="Normal"/>
        <w:spacing w:lineRule="auto" w:line="360" w:beforeAutospacing="1" w:afterAutospacing="1"/>
        <w:ind w:firstLine="300"/>
        <w:jc w:val="center"/>
        <w:rPr>
          <w:rFonts w:ascii="Times New Roman" w:hAnsi="Times New Roman" w:eastAsia="Times New Roman" w:cs="Times New Roman"/>
          <w:b/>
          <w:bCs/>
          <w:color w:themeColor="text1" w:val="000000"/>
          <w:sz w:val="24"/>
          <w:szCs w:val="24"/>
          <w:u w:val="single"/>
          <w:lang w:eastAsia="lv-LV"/>
        </w:rPr>
      </w:pP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u w:val="single"/>
          <w:lang w:eastAsia="lv-LV"/>
        </w:rPr>
        <w:t>Informācija par piemaksām, prēmijām un naudas balvām</w:t>
      </w:r>
    </w:p>
    <w:tbl>
      <w:tblPr>
        <w:tblW w:w="5000" w:type="pct"/>
        <w:jc w:val="start"/>
        <w:tblInd w:w="7" w:type="dxa"/>
        <w:tblLayout w:type="fixed"/>
        <w:tblCellMar>
          <w:top w:w="30" w:type="dxa"/>
          <w:start w:w="30" w:type="dxa"/>
          <w:bottom w:w="30" w:type="dxa"/>
          <w:end w:w="30" w:type="dxa"/>
        </w:tblCellMar>
        <w:tblLook w:val="04a0" w:firstRow="1" w:noVBand="1" w:lastRow="0" w:firstColumn="1" w:lastColumn="0" w:noHBand="0"/>
      </w:tblPr>
      <w:tblGrid>
        <w:gridCol w:w="615"/>
        <w:gridCol w:w="2180"/>
        <w:gridCol w:w="270"/>
        <w:gridCol w:w="1694"/>
        <w:gridCol w:w="4312"/>
      </w:tblGrid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2450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Piemaksas vai prēmijas veids, naudas balva</w:t>
            </w:r>
          </w:p>
        </w:tc>
        <w:tc>
          <w:tcPr>
            <w:tcW w:w="1694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Piemaksas, prēmijas vai naudas balvas apmērs</w:t>
              <w:br/>
              <w:t>(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text1" w:val="000000"/>
                <w:sz w:val="24"/>
                <w:szCs w:val="24"/>
                <w:lang w:eastAsia="lv-LV"/>
              </w:rPr>
              <w:t>euro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 vai %)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Piešķiršanas pamatojums vai kritēriji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2450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694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4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8456" w:type="dxa"/>
            <w:gridSpan w:val="4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b/>
                <w:color w:themeColor="text1" w:val="000000"/>
                <w:sz w:val="24"/>
                <w:szCs w:val="24"/>
                <w:lang w:eastAsia="lv-LV"/>
              </w:rPr>
              <w:t>Speciālā dienesta pakāpe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1.1.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Pulkvedis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135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1.2.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Pulkvežleitnants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120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1.3.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Majors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106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1.4.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Kapteinis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78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1.5.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Virsleitnants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71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1.6.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Leitnants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64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1.7.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Virsniekvietnieks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43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1.8.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Virsseržants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36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 xml:space="preserve">euro 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1.9.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Seržants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28 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1.10.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Kaprālis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21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1.11.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Ierindnieks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i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14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2.pielikums</w:t>
            </w:r>
          </w:p>
        </w:tc>
      </w:tr>
      <w:tr>
        <w:trPr>
          <w:trHeight w:val="225" w:hRule="atLeast"/>
        </w:trPr>
        <w:tc>
          <w:tcPr>
            <w:tcW w:w="9071" w:type="dxa"/>
            <w:gridSpan w:val="5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2. </w:t>
            </w:r>
            <w:bookmarkStart w:id="1" w:name="571756"/>
            <w:bookmarkEnd w:id="1"/>
            <w:r>
              <w:rPr>
                <w:rFonts w:cs="Times New Roman" w:ascii="Times New Roman" w:hAnsi="Times New Roman"/>
                <w:b/>
                <w:bCs/>
                <w:color w:themeColor="text1" w:val="000000"/>
                <w:sz w:val="24"/>
                <w:szCs w:val="24"/>
              </w:rPr>
              <w:t>Specialās piemaksas par nosacījumiem, kas saistīti ar amata (dienesta) specifiku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2.1.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Par dienesta pienākumu pildīšanu kopā ar dienesta suni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līdz 20 % no mēnešalgas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MK 13.12.2016. noteikumu Nr.806 3.pielikuma 2.punkts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2.2.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Par noteiktu funkciju un uzdevumu izpildi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300 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lv-LV"/>
              </w:rPr>
              <w:t>MK 13.12.2016. noteikumu Nr.806 3.pielikuma 6.punkts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3.</w:t>
            </w:r>
          </w:p>
        </w:tc>
        <w:tc>
          <w:tcPr>
            <w:tcW w:w="8456" w:type="dxa"/>
            <w:gridSpan w:val="4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b/>
                <w:color w:themeColor="text1" w:val="000000"/>
                <w:sz w:val="24"/>
                <w:szCs w:val="24"/>
              </w:rPr>
              <w:t>Vispārējās piemaksas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3.1.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Piemaksu par prombūtnē esošas amatpersonas (darbinieka) aizvietošanu vai pilda vēl citus pienākumus 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ne vairāk kā 20 % apmērā no noteiktās mēnešalgas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14.panta 1.,2.-3. un 13.daļa; MK 13.01.2016. noteikumi Nr.13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3.2.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Piemaksa par papildu pedagoģisko darbu izglītības iestādē, kurā attiecīgā amatpersona ieņem amatu, ja šīs amatpersonas amata pienākumos neietilpst pedagoģiskā darba veikšana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ne vairāk kā 50 % apmērā no attiecīgajam pedagoga amatam noteiktās mēnešalgas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14.panta 1.,2.-3. un 13.daļa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3.3.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Piemaksa par nozīmīgu ieguldījumu stratēģisko mērķu sasniegšanā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ne vairāk kā 20 % no amatpersonai (darbiniekam) noteiktās mēnešalgas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14.panta 12.-13.daļa; MK 13.01.2016. noteikumi Nr.13</w:t>
            </w:r>
          </w:p>
        </w:tc>
      </w:tr>
      <w:tr>
        <w:trPr>
          <w:trHeight w:val="225" w:hRule="atLeast"/>
        </w:trPr>
        <w:tc>
          <w:tcPr>
            <w:tcW w:w="615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4.</w:t>
            </w:r>
          </w:p>
        </w:tc>
        <w:tc>
          <w:tcPr>
            <w:tcW w:w="218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Naudas balva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ne vairāk kā mēnešalgas apmērā kalendāra gada ietvaros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5.punkts un 3.panta sestā daļa</w:t>
            </w:r>
          </w:p>
        </w:tc>
      </w:tr>
      <w:tr>
        <w:trPr>
          <w:trHeight w:val="225" w:hRule="atLeast"/>
        </w:trPr>
        <w:tc>
          <w:tcPr>
            <w:tcW w:w="615" w:type="dxa"/>
            <w:vMerge w:val="restart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5.</w:t>
            </w:r>
          </w:p>
        </w:tc>
        <w:tc>
          <w:tcPr>
            <w:tcW w:w="2180" w:type="dxa"/>
            <w:vMerge w:val="restart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Prēmijas</w:t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prēmiju kopējais apmērs attiecīgajai amatpersonai (darbiniekam) kalendāra gada laikā nedrīkst pārsniegt 120 % no mēnešalgas, bet ikreizējās prēmijas apmērs — 60 %  no mēnešalgas</w:t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16.panta trešā daļa</w:t>
            </w:r>
          </w:p>
        </w:tc>
      </w:tr>
      <w:tr>
        <w:trPr>
          <w:trHeight w:val="225" w:hRule="atLeast"/>
        </w:trPr>
        <w:tc>
          <w:tcPr>
            <w:tcW w:w="615" w:type="dxa"/>
            <w:vMerge w:val="continue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360" w:beforeAutospacing="1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2180" w:type="dxa"/>
            <w:vMerge w:val="continue"/>
            <w:tcBorders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1964" w:type="dxa"/>
            <w:gridSpan w:val="2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431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24"/>
                <w:szCs w:val="24"/>
                <w:lang w:eastAsia="lv-LV"/>
              </w:rPr>
            </w:r>
          </w:p>
        </w:tc>
      </w:tr>
    </w:tbl>
    <w:p>
      <w:pPr>
        <w:pStyle w:val="Normal"/>
        <w:spacing w:lineRule="auto" w:line="360" w:beforeAutospacing="1" w:afterAutospacing="1"/>
        <w:ind w:firstLine="300"/>
        <w:jc w:val="end"/>
        <w:rPr>
          <w:rFonts w:ascii="Times New Roman" w:hAnsi="Times New Roman" w:eastAsia="Times New Roman" w:cs="Times New Roman"/>
          <w:color w:val="FF0000"/>
          <w:sz w:val="24"/>
          <w:szCs w:val="24"/>
          <w:lang w:eastAsia="lv-LV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lv-LV"/>
        </w:rPr>
      </w:r>
    </w:p>
    <w:p>
      <w:pPr>
        <w:pStyle w:val="Normal"/>
        <w:spacing w:lineRule="auto" w:line="360" w:beforeAutospacing="1" w:afterAutospacing="1"/>
        <w:ind w:firstLine="300"/>
        <w:jc w:val="end"/>
        <w:rPr>
          <w:rFonts w:ascii="Times New Roman" w:hAnsi="Times New Roman" w:eastAsia="Times New Roman" w:cs="Times New Roman"/>
          <w:color w:val="FF0000"/>
          <w:sz w:val="24"/>
          <w:szCs w:val="24"/>
          <w:lang w:eastAsia="lv-LV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lv-LV"/>
        </w:rPr>
      </w:r>
    </w:p>
    <w:p>
      <w:pPr>
        <w:pStyle w:val="Normal"/>
        <w:spacing w:lineRule="auto" w:line="360" w:beforeAutospacing="1" w:afterAutospacing="1"/>
        <w:ind w:firstLine="300"/>
        <w:jc w:val="end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lv-LV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lv-LV"/>
        </w:rPr>
        <w:t>2. tabula</w:t>
      </w:r>
    </w:p>
    <w:p>
      <w:pPr>
        <w:pStyle w:val="Normal"/>
        <w:spacing w:lineRule="auto" w:line="360" w:beforeAutospacing="1" w:afterAutospacing="1"/>
        <w:ind w:firstLine="300"/>
        <w:jc w:val="center"/>
        <w:rPr>
          <w:rFonts w:ascii="Times New Roman" w:hAnsi="Times New Roman" w:eastAsia="Times New Roman" w:cs="Times New Roman"/>
          <w:b/>
          <w:bCs/>
          <w:color w:themeColor="text1" w:val="000000"/>
          <w:sz w:val="24"/>
          <w:szCs w:val="24"/>
          <w:lang w:eastAsia="lv-LV"/>
        </w:rPr>
      </w:pPr>
      <w:r>
        <w:rPr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eastAsia="lv-LV"/>
        </w:rPr>
        <w:t>Informācija par sociālajām garantijām</w:t>
      </w:r>
    </w:p>
    <w:tbl>
      <w:tblPr>
        <w:tblW w:w="5000" w:type="pct"/>
        <w:jc w:val="start"/>
        <w:tblInd w:w="7" w:type="dxa"/>
        <w:tblLayout w:type="fixed"/>
        <w:tblCellMar>
          <w:top w:w="30" w:type="dxa"/>
          <w:start w:w="30" w:type="dxa"/>
          <w:bottom w:w="30" w:type="dxa"/>
          <w:end w:w="30" w:type="dxa"/>
        </w:tblCellMar>
        <w:tblLook w:val="04a0" w:firstRow="1" w:noVBand="1" w:lastRow="0" w:firstColumn="1" w:lastColumn="0" w:noHBand="0"/>
      </w:tblPr>
      <w:tblGrid>
        <w:gridCol w:w="611"/>
        <w:gridCol w:w="1990"/>
        <w:gridCol w:w="2968"/>
        <w:gridCol w:w="3502"/>
      </w:tblGrid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Nr. p. k.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Sociālās garantijas veids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Sociālās garantijas apmērs (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text1" w:val="000000"/>
                <w:sz w:val="24"/>
                <w:szCs w:val="24"/>
                <w:lang w:eastAsia="lv-LV"/>
              </w:rPr>
              <w:t>euro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 vai %)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Piešķiršanas pamatojums vai kritēriji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4</w:t>
            </w:r>
          </w:p>
        </w:tc>
      </w:tr>
      <w:tr>
        <w:trPr>
          <w:trHeight w:val="225" w:hRule="atLeast"/>
        </w:trPr>
        <w:tc>
          <w:tcPr>
            <w:tcW w:w="9071" w:type="dxa"/>
            <w:gridSpan w:val="4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b/>
                <w:color w:themeColor="text1" w:val="000000"/>
                <w:sz w:val="24"/>
                <w:szCs w:val="24"/>
                <w:lang w:eastAsia="lv-LV"/>
              </w:rPr>
              <w:t>Pabalsti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1.1.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24"/>
                <w:szCs w:val="24"/>
              </w:rPr>
              <w:t>Atlaišanas vai atvaļināšanas pabalsts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1) viena mēneša vidējās izpeļņas apmērā, ja amatpersona (darbinieks) valsts vai pašvaldības institūcijās bijusi nepārtraukti nodarbināta mazāk nekā 5 gadus;</w:t>
            </w:r>
          </w:p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2) divu mēnešu vidējās izpeļņas apmērā, ja amatpersona (darbinieks) valsts vai pašvaldības institūcijās bijusi nepārtraukti nodarbināta piecus līdz 10 gadus</w:t>
            </w:r>
          </w:p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3) triju mēnešu vidējās izpeļņas apmērā, ja amatpersona (darbinieks) valsts vai pašvaldības institūcijās bijusi nepārtraukti nodarbināta 10 līdz 20 gadus;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4) četru mēnešu vidējās izpeļņas apmērā, ja amatpersona (darbinieks) valsts vai pašvaldības institūcijās bijusi nepārtraukti nodarbināta vairāk nekā 20 gadus.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17.pants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1.2.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24"/>
                <w:szCs w:val="24"/>
              </w:rPr>
              <w:t>Amatpersonu (darbinieku) ievainojuma, sakropļojuma vai citāda veselības bojājuma gadījumā vai nāves gadījumā izmaksājamais pabalsts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1) amatpersonu (darbinieku), nāves gadījumā - amatpersonai (darbiniekam) noteiktās mēnešalgas apmērā;</w:t>
            </w:r>
          </w:p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2) amatpersonas ar speciālo dienesta pakāpi nāves gadījumā - 12 mēnešalgu apmērā, bet ne mazāku kā 10 000 </w:t>
            </w:r>
            <w:r>
              <w:rPr>
                <w:rFonts w:cs="Times New Roman" w:ascii="Times New Roman" w:hAnsi="Times New Roman"/>
                <w:i/>
                <w:iCs/>
                <w:color w:themeColor="text1" w:val="000000"/>
                <w:sz w:val="24"/>
                <w:szCs w:val="24"/>
              </w:rPr>
              <w:t>euro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; </w:t>
            </w:r>
          </w:p>
          <w:p>
            <w:pPr>
              <w:pStyle w:val="NoSpacing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3) j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a amatpersonas (darbinieki), pildot ar dzīvības vai veselības apdraudējumu (risku) saistītus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amata (dienesta, darba) pienākumus, ir cietušas nelaimes gadījumā un guvušas ievainojumu vai sakropļojumu un 12 mēnešu laikā ir noteikta invaliditāte, izmaksā vienreizēju pabalstu: I grupas invalīdam — 71 145 euro; II grupas invalīdam — 35 573 euro; III grupas invalīdam — 14 229 euro;</w:t>
            </w:r>
          </w:p>
          <w:p>
            <w:pPr>
              <w:pStyle w:val="Normal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4)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 ja amatpersonas (darbinieki), pildot ar dzīvības vai veselības apdraudējumu (risku) saistītus amata (dienesta, darba) pienākumus, ir cietušas nelaimes gadījumā un guvušas ievainojumu vai sakropļojumu, izmaksā vienreizēju pabalstu: smaga veselības bojājuma gadījumā — 10 000 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text1" w:val="000000"/>
                <w:sz w:val="24"/>
                <w:szCs w:val="24"/>
                <w:lang w:eastAsia="lv-LV"/>
              </w:rPr>
              <w:t>euro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; vidēji smaga veselības bojājuma gadījumā — 5000 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text1" w:val="000000"/>
                <w:sz w:val="24"/>
                <w:szCs w:val="24"/>
                <w:lang w:eastAsia="lv-LV"/>
              </w:rPr>
              <w:t>euro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; viegla veselības bojājuma gadījumā — 200 </w:t>
            </w:r>
            <w:r>
              <w:rPr>
                <w:rFonts w:eastAsia="Times New Roman" w:cs="Times New Roman" w:ascii="Times New Roman" w:hAnsi="Times New Roman"/>
                <w:i/>
                <w:iCs/>
                <w:color w:themeColor="text1" w:val="000000"/>
                <w:sz w:val="24"/>
                <w:szCs w:val="24"/>
                <w:lang w:eastAsia="lv-LV"/>
              </w:rPr>
              <w:t>euro</w:t>
            </w: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;</w:t>
            </w:r>
          </w:p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5)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amatpersona ar speciālo dienesta pakāpi saņem vienreizēju pabalstu 50 p% apmērā no 3.un 4.punktā norādītā pabalsta, ja tā cietusi nelaimes gadījumā bet nav pildījusi ar dzīvības vai veselības apdraudējumu (risku) saistītus dienesta (amata) pienākumus, guvusi ievainojumu vai sakropļojumu;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6) ja amatpersonu (darbinieku), amata (dienesta, darba) pienākumi ir saistīti ar dzīvības vai veselības apdraudējumu (risku) un tās gājušas bojā vai mirušas gada laikā pēc nelaimes gadījuma tajā gūto veselības bojājumu dēļ -izmaksā vienreizēju pabalstu 100 000 </w:t>
            </w:r>
            <w:r>
              <w:rPr>
                <w:rFonts w:cs="Times New Roman" w:ascii="Times New Roman" w:hAnsi="Times New Roman"/>
                <w:i/>
                <w:iCs/>
                <w:color w:themeColor="text1" w:val="000000"/>
                <w:sz w:val="24"/>
                <w:szCs w:val="24"/>
              </w:rPr>
              <w:t>euro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apmērā.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19. un 23.pants, MK 2010.gada 21.jūnija noteikumi Nr.565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 xml:space="preserve">1.3. 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Cs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themeColor="text1" w:val="000000"/>
                <w:sz w:val="24"/>
                <w:szCs w:val="24"/>
              </w:rPr>
              <w:t>Pabalsts sakarā ar ģimenes locekļa vai apgādājamā nāvi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vienas minimālās mēneša darba algas apmērā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20.pants, MK 2010.gaga 21.jūnija noteikumi Nr.565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1.4.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Izdienas pabalsts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(šo pabalstu izmaksā sākot ar 2019.gada 1.janvāri)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vienreizējais pabalsts triju mēnešalgu apmērā pēc katriem pieciem nepārtrauktas izdienas gadiem Iekšlietu ministrijas sistēmā vai Ieslodzījuma vietu pārvaldē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25.panta ceturtā daļa,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Pārejas noteikumi </w:t>
            </w:r>
            <w:hyperlink r:id="rId2" w:anchor="pn6.1" w:tgtFrame="_blank">
              <w:r>
                <w:rPr>
                  <w:rStyle w:val="Style9"/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6.</w:t>
              </w:r>
              <w:r>
                <w:rPr>
                  <w:rStyle w:val="Style9"/>
                  <w:rFonts w:cs="Times New Roman" w:ascii="Times New Roman" w:hAnsi="Times New Roman"/>
                  <w:color w:themeColor="text1" w:val="000000"/>
                  <w:sz w:val="24"/>
                  <w:szCs w:val="24"/>
                  <w:vertAlign w:val="superscript"/>
                </w:rPr>
                <w:t>1</w:t>
              </w:r>
              <w:r>
                <w:rPr>
                  <w:rStyle w:val="Style9"/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 xml:space="preserve"> punkt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1.5.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Pabalsts, aizejot ikgadējā apmaksātajā atvaļinājumā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līdz 50% no mēnešalgas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8.punkts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1.6.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Pabalsts par apgādībā esošu bērnu ar invaliditāti līdz 18 gadu vecumam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750 </w:t>
            </w:r>
            <w:r>
              <w:rPr>
                <w:rFonts w:cs="Times New Roman" w:ascii="Times New Roman" w:hAnsi="Times New Roman"/>
                <w:i/>
                <w:iCs/>
                <w:color w:themeColor="text1" w:val="000000"/>
                <w:sz w:val="24"/>
                <w:szCs w:val="24"/>
              </w:rPr>
              <w:t>euro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apmērā reizi kalendāra gadā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7.punkts</w:t>
            </w:r>
          </w:p>
        </w:tc>
      </w:tr>
      <w:tr>
        <w:trPr>
          <w:trHeight w:val="225" w:hRule="atLeast"/>
        </w:trPr>
        <w:tc>
          <w:tcPr>
            <w:tcW w:w="9071" w:type="dxa"/>
            <w:gridSpan w:val="4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b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b/>
                <w:color w:themeColor="text1" w:val="000000"/>
                <w:sz w:val="24"/>
                <w:szCs w:val="24"/>
                <w:lang w:eastAsia="lv-LV"/>
              </w:rPr>
              <w:t>Kompensācijas, mācību izdevumu segšana un apdrošināšana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2.1.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Kvalifikācijas paaugstināšanas izdevumu segšana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mācību izdevumu kompensācija, saglabājot mēnešalgu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27.pants; MK 16.03.2010. noteikumi Nr.257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2.2.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Veselības apdrošināšana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apdrošinājuma summa 8500 </w:t>
            </w:r>
            <w:r>
              <w:rPr>
                <w:rFonts w:cs="Times New Roman" w:ascii="Times New Roman" w:hAnsi="Times New Roman"/>
                <w:i/>
                <w:color w:themeColor="text1" w:val="000000"/>
                <w:sz w:val="24"/>
                <w:szCs w:val="24"/>
              </w:rPr>
              <w:t>euro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37.panta pirmā un otrā daļa</w:t>
            </w:r>
          </w:p>
        </w:tc>
      </w:tr>
      <w:tr>
        <w:trPr>
          <w:trHeight w:val="225" w:hRule="atLeast"/>
        </w:trPr>
        <w:tc>
          <w:tcPr>
            <w:tcW w:w="9071" w:type="dxa"/>
            <w:gridSpan w:val="4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b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b/>
                <w:color w:themeColor="text1" w:val="000000"/>
                <w:sz w:val="24"/>
                <w:szCs w:val="24"/>
                <w:lang w:eastAsia="lv-LV"/>
              </w:rPr>
              <w:t>Citas sociālās garantijas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3.1.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Arial" w:ascii="Arial" w:hAnsi="Arial"/>
                <w:color w:themeColor="text1" w:val="000000"/>
              </w:rPr>
              <w:t>A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pmaksātas brīvdienas sakarā ar stāšanos laulībā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Ne vairāk kā trīs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3.punkts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3.2.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Apmaksāta brīvdiena pirmajā skolas dienā sakarā ar bērna skolas gaitu uzsākšanu 1. — 4.klasē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Viena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2.punkts</w:t>
            </w:r>
          </w:p>
        </w:tc>
      </w:tr>
      <w:tr>
        <w:trPr>
          <w:trHeight w:val="225" w:hRule="atLeast"/>
        </w:trPr>
        <w:tc>
          <w:tcPr>
            <w:tcW w:w="611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3.3.</w:t>
            </w:r>
          </w:p>
        </w:tc>
        <w:tc>
          <w:tcPr>
            <w:tcW w:w="1990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  <w:shd w:fill="FFFFFF" w:val="clear"/>
              </w:rPr>
              <w:t>Vienu apmaksātu brīvdienu izlaiduma dienā, amatpersonai (darbiniekam) vai tās bērnam absolvējot izglītības iestādi</w:t>
            </w:r>
          </w:p>
        </w:tc>
        <w:tc>
          <w:tcPr>
            <w:tcW w:w="2968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Viena</w:t>
            </w:r>
          </w:p>
        </w:tc>
        <w:tc>
          <w:tcPr>
            <w:tcW w:w="3502" w:type="dxa"/>
            <w:tcBorders>
              <w:top w:val="outset" w:sz="6" w:space="0" w:color="000000"/>
              <w:start w:val="outset" w:sz="6" w:space="0" w:color="000000"/>
              <w:bottom w:val="outset" w:sz="6" w:space="0" w:color="000000"/>
              <w:end w:val="outset" w:sz="6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lang w:eastAsia="lv-LV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  <w:szCs w:val="24"/>
                <w:lang w:eastAsia="lv-LV"/>
              </w:rPr>
              <w:t>Valsts un pašvaldību institūciju amatpersonu un darbinieku atlīdzības likuma 3.panta ceturtās daļas 4.punkts</w:t>
            </w:r>
          </w:p>
        </w:tc>
      </w:tr>
    </w:tbl>
    <w:p>
      <w:pPr>
        <w:pStyle w:val="Normal"/>
        <w:rPr>
          <w:rFonts w:ascii="Arial" w:hAnsi="Arial" w:eastAsia="Times New Roman" w:cs="Arial"/>
          <w:color w:val="FF0000"/>
          <w:sz w:val="20"/>
          <w:szCs w:val="20"/>
          <w:lang w:eastAsia="lv-LV"/>
        </w:rPr>
      </w:pPr>
      <w:r>
        <w:rPr>
          <w:rFonts w:eastAsia="Times New Roman" w:cs="Arial" w:ascii="Arial" w:hAnsi="Arial"/>
          <w:color w:val="FF0000"/>
          <w:sz w:val="20"/>
          <w:szCs w:val="20"/>
          <w:lang w:eastAsia="lv-LV"/>
        </w:rPr>
      </w:r>
    </w:p>
    <w:p>
      <w:pPr>
        <w:pStyle w:val="Normal"/>
        <w:spacing w:before="0" w:after="160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27188054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lv-LV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v-LV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v-LV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6008b4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6008b4"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b64d9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v-LV" w:eastAsia="en-US" w:bidi="ar-SA"/>
    </w:rPr>
  </w:style>
  <w:style w:type="paragraph" w:styleId="ListParagraph">
    <w:name w:val="List Paragraph"/>
    <w:basedOn w:val="Normal"/>
    <w:uiPriority w:val="34"/>
    <w:qFormat/>
    <w:rsid w:val="00c13da0"/>
    <w:pPr>
      <w:spacing w:before="0" w:after="16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6008b4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6008b4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likumi.lv/doc.php?id=202273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C1533-4F26-438A-9FC2-D56FA22F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LibreOffice/26.2.6.3$Windows_X86_64 LibreOffice_project/8221e31b3ac356a1623c672912a3d2b492f7e3d1</Application>
  <AppVersion>15.0000</AppVersion>
  <Pages>5</Pages>
  <Words>1024</Words>
  <Characters>6796</Characters>
  <CharactersWithSpaces>7671</CharactersWithSpaces>
  <Paragraphs>159</Paragraphs>
  <Company>Valsts policija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2026-10-07T15:58:00Z</dcterms:created>
  <dc:creator>Jeļena Veide</dc:creator>
  <dc:description/>
  <dc:language>lv-LV</dc:language>
  <cp:lastModifiedBy>Andra Vīnupe</cp:lastModifiedBy>
  <dcterms:modified xsi:type="dcterms:W3CDTF">2026-10-08T14:49:00Z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