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A85F01" w:rsidRDefault="00870A58" w:rsidP="00C2359B">
      <w:pPr>
        <w:spacing w:after="0" w:line="240" w:lineRule="auto"/>
        <w:jc w:val="center"/>
        <w:rPr>
          <w:rFonts w:ascii="Times New Roman" w:hAnsi="Times New Roman"/>
          <w:b/>
          <w:color w:val="000000"/>
          <w:sz w:val="28"/>
          <w:szCs w:val="28"/>
        </w:rPr>
      </w:pPr>
      <w:r w:rsidRPr="00A85F01">
        <w:rPr>
          <w:rFonts w:ascii="Times New Roman" w:hAnsi="Times New Roman"/>
          <w:b/>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A96C20" w:rsidRDefault="00A96C20"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A85F01" w:rsidTr="00624FE1">
        <w:trPr>
          <w:trHeight w:val="321"/>
        </w:trPr>
        <w:tc>
          <w:tcPr>
            <w:tcW w:w="4568" w:type="dxa"/>
          </w:tcPr>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nosaukums</w:t>
            </w:r>
          </w:p>
        </w:tc>
        <w:tc>
          <w:tcPr>
            <w:tcW w:w="4675" w:type="dxa"/>
          </w:tcPr>
          <w:p w:rsidR="00870A58" w:rsidRPr="00A85F01" w:rsidRDefault="000F602B" w:rsidP="00624FE1">
            <w:pPr>
              <w:widowControl w:val="0"/>
              <w:spacing w:after="0" w:line="240" w:lineRule="auto"/>
              <w:jc w:val="both"/>
              <w:rPr>
                <w:rFonts w:ascii="Times New Roman" w:eastAsia="Arial Unicode MS" w:hAnsi="Times New Roman" w:cs="Arial Unicode MS"/>
                <w:b/>
                <w:bCs/>
                <w:iCs/>
                <w:color w:val="000000"/>
                <w:sz w:val="28"/>
                <w:szCs w:val="24"/>
                <w:u w:color="000000"/>
                <w:bdr w:val="nil"/>
                <w:lang w:eastAsia="lv-LV"/>
              </w:rPr>
            </w:pPr>
            <w:r w:rsidRPr="00A85F01">
              <w:rPr>
                <w:rFonts w:ascii="Times New Roman" w:eastAsia="Arial Unicode MS" w:hAnsi="Times New Roman" w:cs="Arial Unicode MS"/>
                <w:b/>
                <w:bCs/>
                <w:iCs/>
                <w:color w:val="000000"/>
                <w:sz w:val="28"/>
                <w:szCs w:val="24"/>
                <w:u w:color="000000"/>
                <w:bdr w:val="nil"/>
                <w:lang w:eastAsia="lv-LV"/>
              </w:rPr>
              <w:t>Viltotas naudas aprite Latvijā un Eiropas Savienībā</w:t>
            </w:r>
          </w:p>
          <w:p w:rsidR="000F602B" w:rsidRPr="00A85F01" w:rsidRDefault="000F602B" w:rsidP="00624FE1">
            <w:pPr>
              <w:widowControl w:val="0"/>
              <w:spacing w:after="0" w:line="240" w:lineRule="auto"/>
              <w:jc w:val="both"/>
              <w:rPr>
                <w:rFonts w:ascii="Times New Roman" w:hAnsi="Times New Roman"/>
                <w:b/>
                <w:color w:val="FF0000"/>
                <w:sz w:val="28"/>
                <w:szCs w:val="24"/>
              </w:rPr>
            </w:pPr>
          </w:p>
        </w:tc>
      </w:tr>
      <w:tr w:rsidR="00870A58" w:rsidRPr="00A85F01" w:rsidTr="00624FE1">
        <w:tc>
          <w:tcPr>
            <w:tcW w:w="4568" w:type="dxa"/>
          </w:tcPr>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mērķis</w:t>
            </w: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mērķauditorija</w:t>
            </w: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Klausītāju skaits</w:t>
            </w: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īstenošanas ilgums</w:t>
            </w:r>
          </w:p>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izstrādātājs</w:t>
            </w:r>
          </w:p>
        </w:tc>
        <w:tc>
          <w:tcPr>
            <w:tcW w:w="4675" w:type="dxa"/>
          </w:tcPr>
          <w:p w:rsidR="000F602B" w:rsidRPr="00A85F01" w:rsidRDefault="006E3708" w:rsidP="00624FE1">
            <w:pPr>
              <w:spacing w:after="0" w:line="240" w:lineRule="auto"/>
              <w:jc w:val="both"/>
              <w:rPr>
                <w:rFonts w:ascii="Times New Roman" w:eastAsia="Arial Unicode MS" w:hAnsi="Times New Roman" w:cs="Arial Unicode MS"/>
                <w:b/>
                <w:color w:val="000000"/>
                <w:sz w:val="28"/>
                <w:szCs w:val="24"/>
                <w:u w:color="000000"/>
                <w:bdr w:val="nil"/>
                <w:lang w:eastAsia="lv-LV"/>
              </w:rPr>
            </w:pPr>
            <w:r w:rsidRPr="00A85F01">
              <w:rPr>
                <w:rFonts w:ascii="Times New Roman" w:eastAsia="Arial Unicode MS" w:hAnsi="Times New Roman" w:cs="Arial Unicode MS"/>
                <w:b/>
                <w:color w:val="000000"/>
                <w:sz w:val="28"/>
                <w:szCs w:val="24"/>
                <w:u w:color="000000"/>
                <w:bdr w:val="nil"/>
                <w:lang w:eastAsia="lv-LV"/>
              </w:rPr>
              <w:t xml:space="preserve">Pilnveidot Valsts policijas darbinieku </w:t>
            </w:r>
            <w:r w:rsidR="000F602B" w:rsidRPr="00A85F01">
              <w:rPr>
                <w:rFonts w:ascii="Times New Roman" w:eastAsia="Arial Unicode MS" w:hAnsi="Times New Roman" w:cs="Arial Unicode MS"/>
                <w:b/>
                <w:color w:val="000000"/>
                <w:sz w:val="28"/>
                <w:szCs w:val="24"/>
                <w:u w:color="000000"/>
                <w:bdr w:val="nil"/>
                <w:lang w:eastAsia="lv-LV"/>
              </w:rPr>
              <w:t xml:space="preserve">teorētiskās </w:t>
            </w:r>
            <w:r w:rsidRPr="00A85F01">
              <w:rPr>
                <w:rFonts w:ascii="Times New Roman" w:eastAsia="Arial Unicode MS" w:hAnsi="Times New Roman" w:cs="Arial Unicode MS"/>
                <w:b/>
                <w:color w:val="000000"/>
                <w:sz w:val="28"/>
                <w:szCs w:val="24"/>
                <w:u w:color="000000"/>
                <w:bdr w:val="nil"/>
                <w:lang w:eastAsia="lv-LV"/>
              </w:rPr>
              <w:t xml:space="preserve">zināšanas </w:t>
            </w:r>
            <w:r w:rsidR="000F602B" w:rsidRPr="00A85F01">
              <w:rPr>
                <w:rFonts w:ascii="Times New Roman" w:eastAsia="Arial Unicode MS" w:hAnsi="Times New Roman" w:cs="Arial Unicode MS"/>
                <w:b/>
                <w:color w:val="000000"/>
                <w:sz w:val="28"/>
                <w:szCs w:val="24"/>
                <w:u w:color="000000"/>
                <w:bdr w:val="nil"/>
                <w:lang w:eastAsia="lv-LV"/>
              </w:rPr>
              <w:t>par jaunākajām tendencēm viltot</w:t>
            </w:r>
            <w:r w:rsidR="00FC5697" w:rsidRPr="00A85F01">
              <w:rPr>
                <w:rFonts w:ascii="Times New Roman" w:eastAsia="Arial Unicode MS" w:hAnsi="Times New Roman" w:cs="Arial Unicode MS"/>
                <w:b/>
                <w:color w:val="000000"/>
                <w:sz w:val="28"/>
                <w:szCs w:val="24"/>
                <w:u w:color="000000"/>
                <w:bdr w:val="nil"/>
                <w:lang w:eastAsia="lv-LV"/>
              </w:rPr>
              <w:t>a</w:t>
            </w:r>
            <w:r w:rsidR="000F602B" w:rsidRPr="00A85F01">
              <w:rPr>
                <w:rFonts w:ascii="Times New Roman" w:eastAsia="Arial Unicode MS" w:hAnsi="Times New Roman" w:cs="Arial Unicode MS"/>
                <w:b/>
                <w:color w:val="000000"/>
                <w:sz w:val="28"/>
                <w:szCs w:val="24"/>
                <w:u w:color="000000"/>
                <w:bdr w:val="nil"/>
                <w:lang w:eastAsia="lv-LV"/>
              </w:rPr>
              <w:t>s naudas apritē un tās apkarošanas iespējām</w:t>
            </w:r>
          </w:p>
          <w:p w:rsidR="000F602B" w:rsidRPr="00A85F01" w:rsidRDefault="000F602B" w:rsidP="00624FE1">
            <w:pPr>
              <w:spacing w:after="0" w:line="240" w:lineRule="auto"/>
              <w:jc w:val="both"/>
              <w:rPr>
                <w:rFonts w:ascii="Times New Roman" w:eastAsia="Arial Unicode MS" w:hAnsi="Times New Roman" w:cs="Arial Unicode MS"/>
                <w:b/>
                <w:color w:val="000000"/>
                <w:sz w:val="28"/>
                <w:szCs w:val="24"/>
                <w:u w:color="000000"/>
                <w:bdr w:val="nil"/>
                <w:lang w:eastAsia="lv-LV"/>
              </w:rPr>
            </w:pPr>
          </w:p>
          <w:p w:rsidR="00870A58" w:rsidRPr="00A85F01" w:rsidRDefault="00870A58" w:rsidP="006E3708">
            <w:pPr>
              <w:spacing w:after="0" w:line="240" w:lineRule="auto"/>
              <w:rPr>
                <w:rFonts w:ascii="Times New Roman" w:hAnsi="Times New Roman"/>
                <w:b/>
                <w:bCs/>
                <w:iCs/>
                <w:sz w:val="28"/>
                <w:szCs w:val="24"/>
              </w:rPr>
            </w:pPr>
            <w:r w:rsidRPr="00A85F01">
              <w:rPr>
                <w:rFonts w:ascii="Times New Roman" w:hAnsi="Times New Roman"/>
                <w:b/>
                <w:sz w:val="28"/>
                <w:szCs w:val="24"/>
              </w:rPr>
              <w:t>Valsts policijas amatpersonas</w:t>
            </w:r>
            <w:r w:rsidR="006E3708" w:rsidRPr="00A85F01">
              <w:rPr>
                <w:rFonts w:ascii="Times New Roman" w:hAnsi="Times New Roman"/>
                <w:b/>
                <w:sz w:val="28"/>
                <w:szCs w:val="24"/>
              </w:rPr>
              <w:t xml:space="preserve">, kuras veic </w:t>
            </w:r>
            <w:r w:rsidR="000F602B" w:rsidRPr="00A85F01">
              <w:rPr>
                <w:rFonts w:ascii="Times New Roman" w:hAnsi="Times New Roman"/>
                <w:b/>
                <w:sz w:val="28"/>
                <w:szCs w:val="24"/>
              </w:rPr>
              <w:t>kriminālprocesu</w:t>
            </w:r>
          </w:p>
          <w:p w:rsidR="00870A58" w:rsidRPr="00A85F01" w:rsidRDefault="00870A58" w:rsidP="00624FE1">
            <w:pPr>
              <w:spacing w:after="0" w:line="240" w:lineRule="auto"/>
              <w:jc w:val="both"/>
              <w:rPr>
                <w:rFonts w:ascii="Times New Roman" w:hAnsi="Times New Roman"/>
                <w:b/>
                <w:sz w:val="28"/>
                <w:szCs w:val="24"/>
              </w:rPr>
            </w:pPr>
          </w:p>
          <w:p w:rsidR="006E3708" w:rsidRPr="00A85F01" w:rsidRDefault="006E3708" w:rsidP="00624FE1">
            <w:pPr>
              <w:spacing w:after="0" w:line="240" w:lineRule="auto"/>
              <w:jc w:val="both"/>
              <w:rPr>
                <w:rFonts w:ascii="Times New Roman" w:hAnsi="Times New Roman"/>
                <w:b/>
                <w:sz w:val="28"/>
                <w:szCs w:val="24"/>
              </w:rPr>
            </w:pPr>
            <w:r w:rsidRPr="00A85F01">
              <w:rPr>
                <w:rFonts w:ascii="Times New Roman" w:hAnsi="Times New Roman"/>
                <w:b/>
                <w:sz w:val="28"/>
                <w:szCs w:val="24"/>
              </w:rPr>
              <w:t>Līdz 20</w:t>
            </w:r>
          </w:p>
          <w:p w:rsidR="006E3708" w:rsidRPr="00A85F01" w:rsidRDefault="006E3708" w:rsidP="00624FE1">
            <w:pPr>
              <w:spacing w:after="0" w:line="240" w:lineRule="auto"/>
              <w:jc w:val="both"/>
              <w:rPr>
                <w:rFonts w:ascii="Times New Roman" w:hAnsi="Times New Roman"/>
                <w:b/>
                <w:sz w:val="28"/>
                <w:szCs w:val="24"/>
              </w:rPr>
            </w:pPr>
          </w:p>
          <w:p w:rsidR="00870A58" w:rsidRPr="00A85F01" w:rsidRDefault="00870A58" w:rsidP="00624FE1">
            <w:pPr>
              <w:spacing w:after="0" w:line="240" w:lineRule="auto"/>
              <w:jc w:val="both"/>
              <w:rPr>
                <w:rFonts w:ascii="Times New Roman" w:hAnsi="Times New Roman"/>
                <w:b/>
                <w:sz w:val="28"/>
                <w:szCs w:val="24"/>
              </w:rPr>
            </w:pPr>
            <w:r w:rsidRPr="00A85F01">
              <w:rPr>
                <w:rFonts w:ascii="Times New Roman" w:hAnsi="Times New Roman"/>
                <w:b/>
                <w:sz w:val="28"/>
                <w:szCs w:val="24"/>
              </w:rPr>
              <w:t>8 akadēmiskās stundas</w:t>
            </w:r>
          </w:p>
          <w:p w:rsidR="00870A58" w:rsidRPr="00A85F01" w:rsidRDefault="00870A58" w:rsidP="00624FE1">
            <w:pPr>
              <w:spacing w:after="0" w:line="240" w:lineRule="auto"/>
              <w:rPr>
                <w:rFonts w:ascii="Times New Roman" w:hAnsi="Times New Roman"/>
                <w:b/>
                <w:bCs/>
                <w:iCs/>
                <w:sz w:val="28"/>
                <w:szCs w:val="24"/>
              </w:rPr>
            </w:pPr>
          </w:p>
          <w:p w:rsidR="00D14BF7" w:rsidRPr="00A85F01" w:rsidRDefault="00D14BF7" w:rsidP="00624FE1">
            <w:pPr>
              <w:spacing w:after="0" w:line="240" w:lineRule="auto"/>
              <w:rPr>
                <w:rFonts w:ascii="Times New Roman" w:hAnsi="Times New Roman"/>
                <w:b/>
                <w:sz w:val="28"/>
                <w:szCs w:val="24"/>
              </w:rPr>
            </w:pPr>
            <w:r w:rsidRPr="00A85F01">
              <w:rPr>
                <w:rFonts w:ascii="Times New Roman" w:hAnsi="Times New Roman"/>
                <w:b/>
                <w:sz w:val="28"/>
                <w:szCs w:val="24"/>
              </w:rPr>
              <w:t xml:space="preserve">A.Antiņš, </w:t>
            </w:r>
            <w:r w:rsidR="00B51D81" w:rsidRPr="00A85F01">
              <w:rPr>
                <w:rFonts w:ascii="Times New Roman" w:hAnsi="Times New Roman"/>
                <w:b/>
                <w:sz w:val="28"/>
                <w:szCs w:val="24"/>
              </w:rPr>
              <w:t>Latvijas B</w:t>
            </w:r>
            <w:r w:rsidRPr="00A85F01">
              <w:rPr>
                <w:rFonts w:ascii="Times New Roman" w:hAnsi="Times New Roman"/>
                <w:b/>
                <w:sz w:val="28"/>
                <w:szCs w:val="24"/>
              </w:rPr>
              <w:t xml:space="preserve">ankas </w:t>
            </w:r>
            <w:r w:rsidR="00FC5697" w:rsidRPr="00A85F01">
              <w:rPr>
                <w:rFonts w:ascii="Times New Roman" w:hAnsi="Times New Roman"/>
                <w:b/>
                <w:sz w:val="28"/>
                <w:szCs w:val="24"/>
              </w:rPr>
              <w:t>k</w:t>
            </w:r>
            <w:r w:rsidRPr="00A85F01">
              <w:rPr>
                <w:rFonts w:ascii="Times New Roman" w:hAnsi="Times New Roman"/>
                <w:b/>
                <w:sz w:val="28"/>
                <w:szCs w:val="24"/>
              </w:rPr>
              <w:t xml:space="preserve">ases un naudas apgrozības pārvaldes </w:t>
            </w:r>
            <w:r w:rsidR="002E7C5A" w:rsidRPr="00A85F01">
              <w:rPr>
                <w:rFonts w:ascii="Times New Roman" w:hAnsi="Times New Roman"/>
                <w:b/>
                <w:sz w:val="28"/>
                <w:szCs w:val="24"/>
              </w:rPr>
              <w:t xml:space="preserve"> Naudas tehnoloģiju daļas vadītājs, </w:t>
            </w:r>
            <w:r w:rsidR="00FC5697" w:rsidRPr="00A85F01">
              <w:rPr>
                <w:rFonts w:ascii="Times New Roman" w:hAnsi="Times New Roman"/>
                <w:b/>
                <w:sz w:val="28"/>
                <w:szCs w:val="24"/>
              </w:rPr>
              <w:t>n</w:t>
            </w:r>
            <w:r w:rsidRPr="00A85F01">
              <w:rPr>
                <w:rFonts w:ascii="Times New Roman" w:hAnsi="Times New Roman"/>
                <w:b/>
                <w:sz w:val="28"/>
                <w:szCs w:val="24"/>
              </w:rPr>
              <w:t>audas zīmju eksperts</w:t>
            </w:r>
          </w:p>
          <w:p w:rsidR="005F2E08" w:rsidRPr="00A85F01" w:rsidRDefault="00465E14" w:rsidP="00624FE1">
            <w:pPr>
              <w:spacing w:after="0" w:line="240" w:lineRule="auto"/>
              <w:rPr>
                <w:rFonts w:ascii="Times New Roman" w:hAnsi="Times New Roman"/>
                <w:b/>
                <w:sz w:val="28"/>
                <w:szCs w:val="24"/>
              </w:rPr>
            </w:pPr>
            <w:r w:rsidRPr="00A85F01">
              <w:rPr>
                <w:rFonts w:ascii="Times New Roman" w:hAnsi="Times New Roman"/>
                <w:b/>
                <w:sz w:val="28"/>
                <w:szCs w:val="24"/>
              </w:rPr>
              <w:t xml:space="preserve">E.Bērziņš, </w:t>
            </w:r>
            <w:r w:rsidR="00B51D81" w:rsidRPr="00A85F01">
              <w:rPr>
                <w:rFonts w:ascii="Times New Roman" w:hAnsi="Times New Roman"/>
                <w:b/>
                <w:sz w:val="28"/>
                <w:szCs w:val="24"/>
              </w:rPr>
              <w:t>Latvijas B</w:t>
            </w:r>
            <w:r w:rsidR="00D14BF7" w:rsidRPr="00A85F01">
              <w:rPr>
                <w:rFonts w:ascii="Times New Roman" w:hAnsi="Times New Roman"/>
                <w:b/>
                <w:sz w:val="28"/>
                <w:szCs w:val="24"/>
              </w:rPr>
              <w:t xml:space="preserve">ankas </w:t>
            </w:r>
            <w:r w:rsidR="00FC5697" w:rsidRPr="00A85F01">
              <w:rPr>
                <w:rFonts w:ascii="Times New Roman" w:hAnsi="Times New Roman"/>
                <w:b/>
                <w:sz w:val="28"/>
                <w:szCs w:val="24"/>
              </w:rPr>
              <w:t>k</w:t>
            </w:r>
            <w:r w:rsidR="00D14BF7" w:rsidRPr="00A85F01">
              <w:rPr>
                <w:rFonts w:ascii="Times New Roman" w:hAnsi="Times New Roman"/>
                <w:b/>
                <w:sz w:val="28"/>
                <w:szCs w:val="24"/>
              </w:rPr>
              <w:t xml:space="preserve">ases </w:t>
            </w:r>
            <w:r w:rsidR="002E7C5A" w:rsidRPr="00A85F01">
              <w:rPr>
                <w:rFonts w:ascii="Times New Roman" w:hAnsi="Times New Roman"/>
                <w:b/>
                <w:sz w:val="28"/>
                <w:szCs w:val="24"/>
              </w:rPr>
              <w:t xml:space="preserve">un naudas apgrozības pārvaldes </w:t>
            </w:r>
            <w:r w:rsidR="00FC5697" w:rsidRPr="00A85F01">
              <w:rPr>
                <w:rFonts w:ascii="Times New Roman" w:hAnsi="Times New Roman"/>
                <w:b/>
                <w:sz w:val="28"/>
                <w:szCs w:val="24"/>
              </w:rPr>
              <w:t>n</w:t>
            </w:r>
            <w:r w:rsidR="00D14BF7" w:rsidRPr="00A85F01">
              <w:rPr>
                <w:rFonts w:ascii="Times New Roman" w:hAnsi="Times New Roman"/>
                <w:b/>
                <w:sz w:val="28"/>
                <w:szCs w:val="24"/>
              </w:rPr>
              <w:t>audas zīmju eksperts</w:t>
            </w:r>
          </w:p>
          <w:p w:rsidR="00D14BF7" w:rsidRPr="00A85F01" w:rsidRDefault="00D14BF7" w:rsidP="00624FE1">
            <w:pPr>
              <w:spacing w:after="0" w:line="240" w:lineRule="auto"/>
              <w:rPr>
                <w:rFonts w:ascii="Times New Roman" w:hAnsi="Times New Roman"/>
                <w:b/>
                <w:sz w:val="28"/>
                <w:szCs w:val="24"/>
              </w:rPr>
            </w:pPr>
            <w:r w:rsidRPr="00A85F01">
              <w:rPr>
                <w:rFonts w:ascii="Times New Roman" w:hAnsi="Times New Roman"/>
                <w:b/>
                <w:sz w:val="28"/>
                <w:szCs w:val="24"/>
              </w:rPr>
              <w:t xml:space="preserve">A.Tauriņš, </w:t>
            </w:r>
            <w:r w:rsidR="00B51D81" w:rsidRPr="00A85F01">
              <w:rPr>
                <w:rFonts w:ascii="Times New Roman" w:hAnsi="Times New Roman"/>
                <w:b/>
                <w:sz w:val="28"/>
                <w:szCs w:val="24"/>
              </w:rPr>
              <w:t>Latvijas B</w:t>
            </w:r>
            <w:r w:rsidRPr="00A85F01">
              <w:rPr>
                <w:rFonts w:ascii="Times New Roman" w:hAnsi="Times New Roman"/>
                <w:b/>
                <w:sz w:val="28"/>
                <w:szCs w:val="24"/>
              </w:rPr>
              <w:t xml:space="preserve">ankas </w:t>
            </w:r>
            <w:r w:rsidR="00FC5697" w:rsidRPr="00A85F01">
              <w:rPr>
                <w:rFonts w:ascii="Times New Roman" w:hAnsi="Times New Roman"/>
                <w:b/>
                <w:sz w:val="28"/>
                <w:szCs w:val="24"/>
              </w:rPr>
              <w:t>k</w:t>
            </w:r>
            <w:r w:rsidRPr="00A85F01">
              <w:rPr>
                <w:rFonts w:ascii="Times New Roman" w:hAnsi="Times New Roman"/>
                <w:b/>
                <w:sz w:val="28"/>
                <w:szCs w:val="24"/>
              </w:rPr>
              <w:t xml:space="preserve">ases </w:t>
            </w:r>
            <w:r w:rsidR="002E7C5A" w:rsidRPr="00A85F01">
              <w:rPr>
                <w:rFonts w:ascii="Times New Roman" w:hAnsi="Times New Roman"/>
                <w:b/>
                <w:sz w:val="28"/>
                <w:szCs w:val="24"/>
              </w:rPr>
              <w:t xml:space="preserve">un naudas apgrozības pārvaldes </w:t>
            </w:r>
            <w:r w:rsidR="00FC5697" w:rsidRPr="00A85F01">
              <w:rPr>
                <w:rFonts w:ascii="Times New Roman" w:hAnsi="Times New Roman"/>
                <w:b/>
                <w:sz w:val="28"/>
                <w:szCs w:val="24"/>
              </w:rPr>
              <w:t>n</w:t>
            </w:r>
            <w:r w:rsidRPr="00A85F01">
              <w:rPr>
                <w:rFonts w:ascii="Times New Roman" w:hAnsi="Times New Roman"/>
                <w:b/>
                <w:sz w:val="28"/>
                <w:szCs w:val="24"/>
              </w:rPr>
              <w:t>audas zīmju eksperts</w:t>
            </w:r>
          </w:p>
          <w:p w:rsidR="00D14BF7" w:rsidRPr="00A85F01" w:rsidRDefault="002E7C5A" w:rsidP="00624FE1">
            <w:pPr>
              <w:spacing w:after="0" w:line="240" w:lineRule="auto"/>
              <w:rPr>
                <w:rFonts w:ascii="Times New Roman" w:hAnsi="Times New Roman"/>
                <w:b/>
                <w:sz w:val="28"/>
                <w:szCs w:val="24"/>
              </w:rPr>
            </w:pPr>
            <w:r w:rsidRPr="00A85F01">
              <w:rPr>
                <w:rFonts w:ascii="Times New Roman" w:hAnsi="Times New Roman"/>
                <w:b/>
                <w:sz w:val="28"/>
                <w:szCs w:val="24"/>
              </w:rPr>
              <w:t>R.Kalnačs, Valts policijas koledžas Kriminālistikas katedras lektors</w:t>
            </w:r>
          </w:p>
          <w:p w:rsidR="00FC5697" w:rsidRPr="00A85F01" w:rsidRDefault="00FC5697" w:rsidP="00624FE1">
            <w:pPr>
              <w:spacing w:after="0" w:line="240" w:lineRule="auto"/>
              <w:rPr>
                <w:rFonts w:ascii="Times New Roman" w:hAnsi="Times New Roman"/>
                <w:b/>
                <w:sz w:val="28"/>
                <w:szCs w:val="24"/>
              </w:rPr>
            </w:pPr>
          </w:p>
        </w:tc>
      </w:tr>
      <w:tr w:rsidR="00870A58" w:rsidRPr="00A85F01" w:rsidTr="00624FE1">
        <w:tc>
          <w:tcPr>
            <w:tcW w:w="4568" w:type="dxa"/>
          </w:tcPr>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 xml:space="preserve">Izglītības dokuments, kas apliecina </w:t>
            </w: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profesionālās izglītības programmas apguvi</w:t>
            </w:r>
          </w:p>
        </w:tc>
        <w:tc>
          <w:tcPr>
            <w:tcW w:w="4675" w:type="dxa"/>
          </w:tcPr>
          <w:p w:rsidR="00870A58" w:rsidRPr="00A85F01" w:rsidRDefault="00870A58" w:rsidP="00624FE1">
            <w:pPr>
              <w:spacing w:after="0" w:line="240" w:lineRule="auto"/>
              <w:jc w:val="both"/>
              <w:rPr>
                <w:rFonts w:ascii="Times New Roman" w:hAnsi="Times New Roman"/>
                <w:b/>
                <w:bCs/>
                <w:sz w:val="28"/>
                <w:szCs w:val="24"/>
              </w:rPr>
            </w:pPr>
            <w:r w:rsidRPr="00A85F01">
              <w:rPr>
                <w:rFonts w:ascii="Times New Roman" w:hAnsi="Times New Roman"/>
                <w:b/>
                <w:bCs/>
                <w:sz w:val="28"/>
                <w:szCs w:val="24"/>
              </w:rPr>
              <w:t>apliecība</w:t>
            </w:r>
          </w:p>
        </w:tc>
      </w:tr>
      <w:tr w:rsidR="00870A58" w:rsidRPr="00A85F01" w:rsidTr="00624FE1">
        <w:tc>
          <w:tcPr>
            <w:tcW w:w="4568" w:type="dxa"/>
          </w:tcPr>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Nosacījumi dokumenta, kas apliecina programmas apguvi, saņemšanai</w:t>
            </w:r>
          </w:p>
        </w:tc>
        <w:tc>
          <w:tcPr>
            <w:tcW w:w="4675" w:type="dxa"/>
          </w:tcPr>
          <w:p w:rsidR="002E7C5A" w:rsidRPr="00A85F01" w:rsidRDefault="002E7C5A" w:rsidP="00624FE1">
            <w:pPr>
              <w:spacing w:after="0" w:line="240" w:lineRule="auto"/>
              <w:rPr>
                <w:rFonts w:ascii="Times New Roman" w:hAnsi="Times New Roman"/>
                <w:b/>
                <w:bCs/>
                <w:sz w:val="28"/>
                <w:szCs w:val="24"/>
              </w:rPr>
            </w:pPr>
          </w:p>
          <w:p w:rsidR="00870A58" w:rsidRPr="00A85F01" w:rsidRDefault="00870A58" w:rsidP="00624FE1">
            <w:pPr>
              <w:spacing w:after="0" w:line="240" w:lineRule="auto"/>
              <w:rPr>
                <w:rFonts w:ascii="Times New Roman" w:hAnsi="Times New Roman"/>
                <w:b/>
                <w:bCs/>
                <w:sz w:val="28"/>
                <w:szCs w:val="24"/>
              </w:rPr>
            </w:pPr>
            <w:r w:rsidRPr="00A85F01">
              <w:rPr>
                <w:rFonts w:ascii="Times New Roman" w:hAnsi="Times New Roman"/>
                <w:b/>
                <w:bCs/>
                <w:sz w:val="28"/>
                <w:szCs w:val="24"/>
              </w:rPr>
              <w:t>klausītājs, piedaloties programmas apguvē vismaz 90% apmērā, saņem apliecību</w:t>
            </w:r>
          </w:p>
        </w:tc>
      </w:tr>
      <w:tr w:rsidR="00870A58" w:rsidRPr="00A85F01" w:rsidTr="00624FE1">
        <w:tc>
          <w:tcPr>
            <w:tcW w:w="4568" w:type="dxa"/>
          </w:tcPr>
          <w:p w:rsidR="00870A58" w:rsidRPr="00A85F01" w:rsidRDefault="00870A58" w:rsidP="00624FE1">
            <w:pPr>
              <w:spacing w:after="0" w:line="240" w:lineRule="auto"/>
              <w:rPr>
                <w:rFonts w:ascii="Times New Roman" w:hAnsi="Times New Roman"/>
                <w:sz w:val="28"/>
                <w:szCs w:val="24"/>
              </w:rPr>
            </w:pPr>
          </w:p>
          <w:p w:rsidR="00870A58" w:rsidRPr="00A85F01" w:rsidRDefault="00870A58" w:rsidP="00624FE1">
            <w:pPr>
              <w:spacing w:after="0" w:line="240" w:lineRule="auto"/>
              <w:rPr>
                <w:rFonts w:ascii="Times New Roman" w:hAnsi="Times New Roman"/>
                <w:sz w:val="28"/>
                <w:szCs w:val="24"/>
              </w:rPr>
            </w:pPr>
            <w:r w:rsidRPr="00A85F01">
              <w:rPr>
                <w:rFonts w:ascii="Times New Roman" w:hAnsi="Times New Roman"/>
                <w:sz w:val="28"/>
                <w:szCs w:val="24"/>
              </w:rPr>
              <w:t>Programmas izstrādes gads</w:t>
            </w:r>
          </w:p>
        </w:tc>
        <w:tc>
          <w:tcPr>
            <w:tcW w:w="4675" w:type="dxa"/>
          </w:tcPr>
          <w:p w:rsidR="00870A58" w:rsidRPr="00A85F01" w:rsidRDefault="00870A58" w:rsidP="00624FE1">
            <w:pPr>
              <w:spacing w:after="0" w:line="240" w:lineRule="auto"/>
              <w:jc w:val="both"/>
              <w:rPr>
                <w:rFonts w:ascii="Times New Roman" w:hAnsi="Times New Roman"/>
                <w:b/>
                <w:bCs/>
                <w:sz w:val="28"/>
                <w:szCs w:val="24"/>
              </w:rPr>
            </w:pPr>
          </w:p>
          <w:p w:rsidR="00870A58" w:rsidRPr="00A85F01" w:rsidRDefault="00870A58" w:rsidP="005F2E08">
            <w:pPr>
              <w:spacing w:after="0" w:line="240" w:lineRule="auto"/>
              <w:jc w:val="both"/>
              <w:rPr>
                <w:rFonts w:ascii="Times New Roman" w:hAnsi="Times New Roman"/>
                <w:b/>
                <w:bCs/>
                <w:sz w:val="28"/>
                <w:szCs w:val="24"/>
              </w:rPr>
            </w:pPr>
            <w:r w:rsidRPr="00A85F01">
              <w:rPr>
                <w:rFonts w:ascii="Times New Roman" w:hAnsi="Times New Roman"/>
                <w:b/>
                <w:bCs/>
                <w:sz w:val="28"/>
                <w:szCs w:val="24"/>
              </w:rPr>
              <w:t>201</w:t>
            </w:r>
            <w:r w:rsidR="005F2E08" w:rsidRPr="00A85F01">
              <w:rPr>
                <w:rFonts w:ascii="Times New Roman" w:hAnsi="Times New Roman"/>
                <w:b/>
                <w:bCs/>
                <w:sz w:val="28"/>
                <w:szCs w:val="24"/>
              </w:rPr>
              <w:t>6</w:t>
            </w:r>
          </w:p>
        </w:tc>
      </w:tr>
    </w:tbl>
    <w:p w:rsidR="00A96C20" w:rsidRPr="00A85F01" w:rsidRDefault="00A96C20" w:rsidP="00553659">
      <w:pPr>
        <w:spacing w:after="0" w:line="240" w:lineRule="auto"/>
        <w:rPr>
          <w:rFonts w:ascii="Times New Roman" w:hAnsi="Times New Roman"/>
          <w:sz w:val="28"/>
          <w:szCs w:val="24"/>
        </w:rPr>
      </w:pPr>
      <w:r w:rsidRPr="00A85F01">
        <w:rPr>
          <w:rFonts w:ascii="Times New Roman" w:hAnsi="Times New Roman"/>
          <w:sz w:val="28"/>
          <w:szCs w:val="24"/>
        </w:rPr>
        <w:t xml:space="preserve"> </w:t>
      </w:r>
    </w:p>
    <w:p w:rsidR="00A96C20" w:rsidRDefault="00A96C20" w:rsidP="00553659">
      <w:pPr>
        <w:spacing w:after="0" w:line="240" w:lineRule="auto"/>
        <w:rPr>
          <w:rFonts w:ascii="Times New Roman" w:hAnsi="Times New Roman"/>
          <w:sz w:val="28"/>
          <w:szCs w:val="24"/>
        </w:rPr>
      </w:pPr>
    </w:p>
    <w:p w:rsidR="00A85F01" w:rsidRDefault="00A85F01" w:rsidP="00553659">
      <w:pPr>
        <w:spacing w:after="0" w:line="240" w:lineRule="auto"/>
        <w:rPr>
          <w:rFonts w:ascii="Times New Roman" w:hAnsi="Times New Roman"/>
          <w:sz w:val="28"/>
          <w:szCs w:val="24"/>
        </w:rPr>
      </w:pPr>
    </w:p>
    <w:p w:rsidR="00A85F01" w:rsidRDefault="00A85F01" w:rsidP="00553659">
      <w:pPr>
        <w:spacing w:after="0" w:line="240" w:lineRule="auto"/>
        <w:rPr>
          <w:rFonts w:ascii="Times New Roman" w:hAnsi="Times New Roman"/>
          <w:sz w:val="28"/>
          <w:szCs w:val="24"/>
        </w:rPr>
      </w:pPr>
    </w:p>
    <w:p w:rsidR="00870A58" w:rsidRPr="00A85F01" w:rsidRDefault="00870A58" w:rsidP="00553659">
      <w:pPr>
        <w:spacing w:after="0" w:line="240" w:lineRule="auto"/>
        <w:rPr>
          <w:rFonts w:ascii="Times New Roman" w:hAnsi="Times New Roman"/>
          <w:sz w:val="28"/>
          <w:szCs w:val="24"/>
        </w:rPr>
      </w:pPr>
      <w:bookmarkStart w:id="0" w:name="_GoBack"/>
      <w:bookmarkEnd w:id="0"/>
      <w:r w:rsidRPr="00A85F01">
        <w:rPr>
          <w:rFonts w:ascii="Times New Roman" w:hAnsi="Times New Roman"/>
          <w:sz w:val="28"/>
          <w:szCs w:val="24"/>
        </w:rPr>
        <w:lastRenderedPageBreak/>
        <w:t xml:space="preserve">Programmas </w:t>
      </w:r>
      <w:smartTag w:uri="schemas-tilde-lv/tildestengine" w:element="veidnes">
        <w:smartTagPr>
          <w:attr w:name="text" w:val="plāns"/>
          <w:attr w:name="baseform" w:val="plāns"/>
          <w:attr w:name="id" w:val="-1"/>
        </w:smartTagPr>
        <w:r w:rsidRPr="00A85F01">
          <w:rPr>
            <w:rFonts w:ascii="Times New Roman" w:hAnsi="Times New Roman"/>
            <w:sz w:val="28"/>
            <w:szCs w:val="24"/>
          </w:rPr>
          <w:t>plāns</w:t>
        </w:r>
      </w:smartTag>
    </w:p>
    <w:p w:rsidR="00A96C20" w:rsidRPr="00A85F01" w:rsidRDefault="00A96C20" w:rsidP="00553659">
      <w:pPr>
        <w:spacing w:after="0" w:line="240" w:lineRule="auto"/>
        <w:rPr>
          <w:rFonts w:ascii="Times New Roman" w:hAnsi="Times New Roman"/>
          <w:sz w:val="28"/>
          <w:szCs w:val="24"/>
        </w:rPr>
      </w:pPr>
    </w:p>
    <w:tbl>
      <w:tblPr>
        <w:tblW w:w="951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341"/>
        <w:gridCol w:w="1163"/>
        <w:gridCol w:w="1270"/>
        <w:gridCol w:w="562"/>
        <w:gridCol w:w="562"/>
        <w:gridCol w:w="562"/>
        <w:gridCol w:w="1413"/>
        <w:gridCol w:w="1211"/>
        <w:gridCol w:w="46"/>
      </w:tblGrid>
      <w:tr w:rsidR="00870A58" w:rsidTr="00B42745">
        <w:tc>
          <w:tcPr>
            <w:tcW w:w="53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504"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70" w:type="dxa"/>
            <w:vMerge w:val="restart"/>
            <w:vAlign w:val="center"/>
          </w:tcPr>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68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413"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257" w:type="dxa"/>
            <w:gridSpan w:val="2"/>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rsidTr="00B42745">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504" w:type="dxa"/>
            <w:gridSpan w:val="2"/>
            <w:vMerge/>
            <w:vAlign w:val="center"/>
          </w:tcPr>
          <w:p w:rsidR="00870A58" w:rsidRDefault="00870A58" w:rsidP="00513AAF">
            <w:pPr>
              <w:spacing w:after="0" w:line="240" w:lineRule="auto"/>
              <w:rPr>
                <w:rFonts w:ascii="Times New Roman" w:hAnsi="Times New Roman"/>
                <w:sz w:val="21"/>
                <w:szCs w:val="21"/>
              </w:rPr>
            </w:pPr>
          </w:p>
        </w:tc>
        <w:tc>
          <w:tcPr>
            <w:tcW w:w="1270" w:type="dxa"/>
            <w:vMerge/>
            <w:vAlign w:val="center"/>
          </w:tcPr>
          <w:p w:rsidR="00870A58" w:rsidRDefault="00870A58">
            <w:pPr>
              <w:spacing w:after="0" w:line="240" w:lineRule="auto"/>
              <w:rPr>
                <w:rFonts w:ascii="Times New Roman" w:hAnsi="Times New Roman"/>
                <w:sz w:val="21"/>
                <w:szCs w:val="21"/>
              </w:rPr>
            </w:pP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56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413" w:type="dxa"/>
            <w:vMerge/>
            <w:vAlign w:val="center"/>
          </w:tcPr>
          <w:p w:rsidR="00870A58" w:rsidRDefault="00870A58">
            <w:pPr>
              <w:spacing w:after="0" w:line="240" w:lineRule="auto"/>
              <w:rPr>
                <w:rFonts w:ascii="Times New Roman" w:hAnsi="Times New Roman"/>
                <w:sz w:val="21"/>
                <w:szCs w:val="21"/>
              </w:rPr>
            </w:pPr>
          </w:p>
        </w:tc>
        <w:tc>
          <w:tcPr>
            <w:tcW w:w="1257" w:type="dxa"/>
            <w:gridSpan w:val="2"/>
            <w:vMerge/>
            <w:vAlign w:val="center"/>
          </w:tcPr>
          <w:p w:rsidR="00870A58" w:rsidRDefault="00870A58">
            <w:pPr>
              <w:spacing w:after="0" w:line="240" w:lineRule="auto"/>
              <w:rPr>
                <w:rFonts w:ascii="Times New Roman" w:hAnsi="Times New Roman"/>
                <w:sz w:val="21"/>
                <w:szCs w:val="21"/>
              </w:rPr>
            </w:pPr>
          </w:p>
        </w:tc>
      </w:tr>
      <w:tr w:rsidR="00870A58" w:rsidTr="00B42745">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Pr="00A85F01" w:rsidRDefault="00042E83" w:rsidP="00042E83">
            <w:pPr>
              <w:spacing w:after="0" w:line="240" w:lineRule="auto"/>
              <w:rPr>
                <w:rFonts w:ascii="Times New Roman" w:hAnsi="Times New Roman"/>
                <w:sz w:val="21"/>
                <w:szCs w:val="21"/>
              </w:rPr>
            </w:pPr>
            <w:r w:rsidRPr="00A85F01">
              <w:rPr>
                <w:rFonts w:ascii="Times New Roman" w:hAnsi="Times New Roman"/>
                <w:sz w:val="21"/>
                <w:szCs w:val="21"/>
              </w:rPr>
              <w:t>09</w:t>
            </w:r>
            <w:r w:rsidR="00870A58" w:rsidRPr="00A85F01">
              <w:rPr>
                <w:rFonts w:ascii="Times New Roman" w:hAnsi="Times New Roman"/>
                <w:sz w:val="21"/>
                <w:szCs w:val="21"/>
              </w:rPr>
              <w:t>:00-</w:t>
            </w:r>
            <w:r w:rsidRPr="00A85F01">
              <w:rPr>
                <w:rFonts w:ascii="Times New Roman" w:hAnsi="Times New Roman"/>
                <w:sz w:val="21"/>
                <w:szCs w:val="21"/>
              </w:rPr>
              <w:t>10:30</w:t>
            </w:r>
          </w:p>
        </w:tc>
        <w:tc>
          <w:tcPr>
            <w:tcW w:w="2504" w:type="dxa"/>
            <w:gridSpan w:val="2"/>
            <w:vAlign w:val="center"/>
          </w:tcPr>
          <w:p w:rsidR="002E7C5A" w:rsidRDefault="002E7C5A" w:rsidP="002E7C5A">
            <w:pPr>
              <w:pStyle w:val="ListParagraph"/>
              <w:numPr>
                <w:ilvl w:val="1"/>
                <w:numId w:val="7"/>
              </w:numPr>
              <w:spacing w:after="0" w:line="240" w:lineRule="auto"/>
              <w:rPr>
                <w:rFonts w:ascii="Times New Roman" w:hAnsi="Times New Roman"/>
                <w:sz w:val="21"/>
                <w:szCs w:val="21"/>
              </w:rPr>
            </w:pPr>
            <w:r w:rsidRPr="002E7C5A">
              <w:rPr>
                <w:rFonts w:ascii="Times New Roman" w:hAnsi="Times New Roman"/>
                <w:sz w:val="21"/>
                <w:szCs w:val="21"/>
              </w:rPr>
              <w:t>Situācija Eiropā un Latvij</w:t>
            </w:r>
            <w:r w:rsidR="00DC4610">
              <w:rPr>
                <w:rFonts w:ascii="Times New Roman" w:hAnsi="Times New Roman"/>
                <w:sz w:val="21"/>
                <w:szCs w:val="21"/>
              </w:rPr>
              <w:t>ā</w:t>
            </w:r>
            <w:r w:rsidRPr="002E7C5A">
              <w:rPr>
                <w:rFonts w:ascii="Times New Roman" w:hAnsi="Times New Roman"/>
                <w:sz w:val="21"/>
                <w:szCs w:val="21"/>
              </w:rPr>
              <w:t xml:space="preserve"> ar eiro viltojumiem (statistikas dati, izplatība).</w:t>
            </w:r>
          </w:p>
          <w:p w:rsidR="002E7C5A" w:rsidRDefault="002E7C5A" w:rsidP="002E7C5A">
            <w:pPr>
              <w:pStyle w:val="ListParagraph"/>
              <w:numPr>
                <w:ilvl w:val="1"/>
                <w:numId w:val="7"/>
              </w:numPr>
              <w:spacing w:after="0" w:line="240" w:lineRule="auto"/>
              <w:rPr>
                <w:rFonts w:ascii="Times New Roman" w:hAnsi="Times New Roman"/>
                <w:sz w:val="21"/>
                <w:szCs w:val="21"/>
              </w:rPr>
            </w:pPr>
            <w:r w:rsidRPr="002E7C5A">
              <w:rPr>
                <w:rFonts w:ascii="Times New Roman" w:hAnsi="Times New Roman"/>
                <w:sz w:val="21"/>
                <w:szCs w:val="21"/>
              </w:rPr>
              <w:t>Īstu eiro banknošu, to pazīmes.</w:t>
            </w:r>
          </w:p>
          <w:p w:rsidR="00042E83" w:rsidRPr="004F3D79" w:rsidRDefault="002E7C5A" w:rsidP="00DC4610">
            <w:pPr>
              <w:pStyle w:val="ListParagraph"/>
              <w:numPr>
                <w:ilvl w:val="1"/>
                <w:numId w:val="7"/>
              </w:numPr>
              <w:spacing w:after="0" w:line="240" w:lineRule="auto"/>
              <w:rPr>
                <w:rFonts w:ascii="Times New Roman" w:hAnsi="Times New Roman"/>
                <w:sz w:val="21"/>
                <w:szCs w:val="21"/>
              </w:rPr>
            </w:pPr>
            <w:r w:rsidRPr="004F3D79">
              <w:rPr>
                <w:rFonts w:ascii="Times New Roman" w:hAnsi="Times New Roman"/>
                <w:sz w:val="21"/>
                <w:szCs w:val="21"/>
              </w:rPr>
              <w:t>Viltotas eiro banknotes, drošības pazīmju imitācijas paņēmieni, jaunākie viltojumi un to</w:t>
            </w:r>
            <w:r w:rsidR="001222FA">
              <w:rPr>
                <w:rFonts w:ascii="Times New Roman" w:hAnsi="Times New Roman"/>
                <w:sz w:val="21"/>
                <w:szCs w:val="21"/>
              </w:rPr>
              <w:t xml:space="preserve"> atpazīšana, iekārtas</w:t>
            </w:r>
            <w:r w:rsidRPr="004F3D79">
              <w:rPr>
                <w:rFonts w:ascii="Times New Roman" w:hAnsi="Times New Roman"/>
                <w:sz w:val="21"/>
                <w:szCs w:val="21"/>
              </w:rPr>
              <w:t xml:space="preserve"> viltojumu</w:t>
            </w:r>
            <w:r w:rsidR="001222FA">
              <w:rPr>
                <w:rFonts w:ascii="Times New Roman" w:hAnsi="Times New Roman"/>
                <w:sz w:val="21"/>
                <w:szCs w:val="21"/>
              </w:rPr>
              <w:t xml:space="preserve"> atpazīšanai</w:t>
            </w:r>
          </w:p>
        </w:tc>
        <w:tc>
          <w:tcPr>
            <w:tcW w:w="1270" w:type="dxa"/>
            <w:vAlign w:val="center"/>
          </w:tcPr>
          <w:p w:rsidR="00870A58" w:rsidRDefault="00DC4610" w:rsidP="004F3D79">
            <w:pPr>
              <w:spacing w:after="0" w:line="240" w:lineRule="auto"/>
              <w:ind w:left="-58"/>
              <w:jc w:val="center"/>
              <w:rPr>
                <w:rFonts w:ascii="Times New Roman" w:hAnsi="Times New Roman"/>
                <w:sz w:val="21"/>
                <w:szCs w:val="21"/>
              </w:rPr>
            </w:pPr>
            <w:r>
              <w:rPr>
                <w:rFonts w:ascii="Times New Roman" w:hAnsi="Times New Roman"/>
                <w:sz w:val="21"/>
                <w:szCs w:val="21"/>
              </w:rPr>
              <w:t>i</w:t>
            </w:r>
            <w:r w:rsidR="004F3D79">
              <w:rPr>
                <w:rFonts w:ascii="Times New Roman" w:hAnsi="Times New Roman"/>
                <w:sz w:val="21"/>
                <w:szCs w:val="21"/>
              </w:rPr>
              <w:t xml:space="preserve">zpratne </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870A58" w:rsidRDefault="004F3D79">
            <w:pPr>
              <w:spacing w:after="0" w:line="240" w:lineRule="auto"/>
              <w:rPr>
                <w:rFonts w:ascii="Times New Roman" w:hAnsi="Times New Roman"/>
                <w:sz w:val="21"/>
                <w:szCs w:val="21"/>
              </w:rPr>
            </w:pPr>
            <w:r w:rsidRPr="004F3D79">
              <w:rPr>
                <w:rFonts w:ascii="Times New Roman" w:hAnsi="Times New Roman"/>
                <w:sz w:val="21"/>
                <w:szCs w:val="21"/>
              </w:rPr>
              <w:t>A.Antiņš</w:t>
            </w:r>
            <w:r>
              <w:rPr>
                <w:rFonts w:ascii="Times New Roman" w:hAnsi="Times New Roman"/>
                <w:sz w:val="21"/>
                <w:szCs w:val="21"/>
              </w:rPr>
              <w:t>,</w:t>
            </w:r>
          </w:p>
          <w:p w:rsidR="004F3D79" w:rsidRDefault="004F3D79">
            <w:pPr>
              <w:spacing w:after="0" w:line="240" w:lineRule="auto"/>
              <w:rPr>
                <w:rFonts w:ascii="Times New Roman" w:hAnsi="Times New Roman"/>
                <w:sz w:val="21"/>
                <w:szCs w:val="21"/>
              </w:rPr>
            </w:pPr>
            <w:r w:rsidRPr="004F3D79">
              <w:rPr>
                <w:rFonts w:ascii="Times New Roman" w:hAnsi="Times New Roman"/>
                <w:sz w:val="21"/>
                <w:szCs w:val="21"/>
              </w:rPr>
              <w:t>E.Bērziņš</w:t>
            </w:r>
            <w:r>
              <w:rPr>
                <w:rFonts w:ascii="Times New Roman" w:hAnsi="Times New Roman"/>
                <w:sz w:val="21"/>
                <w:szCs w:val="21"/>
              </w:rPr>
              <w:t>,</w:t>
            </w:r>
          </w:p>
          <w:p w:rsidR="004F3D79" w:rsidRDefault="004F3D79">
            <w:pPr>
              <w:spacing w:after="0" w:line="240" w:lineRule="auto"/>
              <w:rPr>
                <w:rFonts w:ascii="Times New Roman" w:hAnsi="Times New Roman"/>
                <w:sz w:val="21"/>
                <w:szCs w:val="21"/>
              </w:rPr>
            </w:pPr>
            <w:r w:rsidRPr="004F3D79">
              <w:rPr>
                <w:rFonts w:ascii="Times New Roman" w:hAnsi="Times New Roman"/>
                <w:sz w:val="21"/>
                <w:szCs w:val="21"/>
              </w:rPr>
              <w:t>A.Tauriņš</w:t>
            </w:r>
          </w:p>
        </w:tc>
      </w:tr>
      <w:tr w:rsidR="00870A58" w:rsidTr="00B42745">
        <w:trPr>
          <w:trHeight w:val="70"/>
        </w:trPr>
        <w:tc>
          <w:tcPr>
            <w:tcW w:w="534" w:type="dxa"/>
            <w:vAlign w:val="center"/>
          </w:tcPr>
          <w:p w:rsidR="00870A58" w:rsidRDefault="00042E83" w:rsidP="00042E83">
            <w:pPr>
              <w:spacing w:after="0" w:line="240" w:lineRule="auto"/>
              <w:jc w:val="center"/>
              <w:rPr>
                <w:rFonts w:ascii="Times New Roman" w:hAnsi="Times New Roman"/>
                <w:sz w:val="20"/>
                <w:szCs w:val="20"/>
              </w:rPr>
            </w:pPr>
            <w:r>
              <w:rPr>
                <w:rFonts w:ascii="Times New Roman" w:hAnsi="Times New Roman"/>
                <w:sz w:val="20"/>
                <w:szCs w:val="20"/>
              </w:rPr>
              <w:t>2</w:t>
            </w:r>
            <w:r w:rsidR="00870A58">
              <w:rPr>
                <w:rFonts w:ascii="Times New Roman" w:hAnsi="Times New Roman"/>
                <w:sz w:val="20"/>
                <w:szCs w:val="20"/>
              </w:rPr>
              <w:t>.</w:t>
            </w:r>
          </w:p>
        </w:tc>
        <w:tc>
          <w:tcPr>
            <w:tcW w:w="850" w:type="dxa"/>
            <w:vAlign w:val="center"/>
          </w:tcPr>
          <w:p w:rsidR="00870A58" w:rsidRPr="00A85F01" w:rsidRDefault="00870A58" w:rsidP="00FF7657">
            <w:pPr>
              <w:spacing w:after="0" w:line="240" w:lineRule="auto"/>
              <w:jc w:val="center"/>
              <w:rPr>
                <w:rFonts w:ascii="Times New Roman" w:hAnsi="Times New Roman"/>
                <w:sz w:val="21"/>
                <w:szCs w:val="21"/>
              </w:rPr>
            </w:pPr>
            <w:r w:rsidRPr="00A85F01">
              <w:rPr>
                <w:rFonts w:ascii="Times New Roman" w:hAnsi="Times New Roman"/>
                <w:sz w:val="21"/>
                <w:szCs w:val="21"/>
              </w:rPr>
              <w:t>1</w:t>
            </w:r>
            <w:r w:rsidR="00042E83" w:rsidRPr="00A85F01">
              <w:rPr>
                <w:rFonts w:ascii="Times New Roman" w:hAnsi="Times New Roman"/>
                <w:sz w:val="21"/>
                <w:szCs w:val="21"/>
              </w:rPr>
              <w:t>0</w:t>
            </w:r>
            <w:r w:rsidRPr="00A85F01">
              <w:rPr>
                <w:rFonts w:ascii="Times New Roman" w:hAnsi="Times New Roman"/>
                <w:sz w:val="21"/>
                <w:szCs w:val="21"/>
              </w:rPr>
              <w:t>:</w:t>
            </w:r>
            <w:r w:rsidR="00FF7657" w:rsidRPr="00A85F01">
              <w:rPr>
                <w:rFonts w:ascii="Times New Roman" w:hAnsi="Times New Roman"/>
                <w:sz w:val="21"/>
                <w:szCs w:val="21"/>
              </w:rPr>
              <w:t>45</w:t>
            </w:r>
            <w:r w:rsidRPr="00A85F01">
              <w:rPr>
                <w:rFonts w:ascii="Times New Roman" w:hAnsi="Times New Roman"/>
                <w:sz w:val="21"/>
                <w:szCs w:val="21"/>
              </w:rPr>
              <w:t>-12:</w:t>
            </w:r>
            <w:r w:rsidR="00FF7657" w:rsidRPr="00A85F01">
              <w:rPr>
                <w:rFonts w:ascii="Times New Roman" w:hAnsi="Times New Roman"/>
                <w:sz w:val="21"/>
                <w:szCs w:val="21"/>
              </w:rPr>
              <w:t>15</w:t>
            </w:r>
          </w:p>
        </w:tc>
        <w:tc>
          <w:tcPr>
            <w:tcW w:w="2504" w:type="dxa"/>
            <w:gridSpan w:val="2"/>
            <w:vAlign w:val="center"/>
          </w:tcPr>
          <w:p w:rsidR="004F3D79" w:rsidRDefault="004F3D79" w:rsidP="004F3D79">
            <w:pPr>
              <w:spacing w:after="0" w:line="240" w:lineRule="auto"/>
              <w:ind w:left="524" w:hanging="283"/>
              <w:rPr>
                <w:rFonts w:ascii="Times New Roman" w:hAnsi="Times New Roman"/>
                <w:sz w:val="21"/>
                <w:szCs w:val="21"/>
              </w:rPr>
            </w:pPr>
            <w:r>
              <w:rPr>
                <w:rFonts w:ascii="Times New Roman" w:hAnsi="Times New Roman"/>
                <w:sz w:val="21"/>
                <w:szCs w:val="21"/>
              </w:rPr>
              <w:t xml:space="preserve">2.1. </w:t>
            </w:r>
            <w:r w:rsidRPr="004F3D79">
              <w:rPr>
                <w:rFonts w:ascii="Times New Roman" w:hAnsi="Times New Roman"/>
                <w:sz w:val="21"/>
                <w:szCs w:val="21"/>
              </w:rPr>
              <w:t>Īstu eiro monētu</w:t>
            </w:r>
            <w:r w:rsidR="001222FA">
              <w:rPr>
                <w:rFonts w:ascii="Times New Roman" w:hAnsi="Times New Roman"/>
                <w:sz w:val="21"/>
                <w:szCs w:val="21"/>
              </w:rPr>
              <w:t xml:space="preserve"> atpazīšana</w:t>
            </w:r>
            <w:r w:rsidRPr="004F3D79">
              <w:rPr>
                <w:rFonts w:ascii="Times New Roman" w:hAnsi="Times New Roman"/>
                <w:sz w:val="21"/>
                <w:szCs w:val="21"/>
              </w:rPr>
              <w:t>, to pazīmes.</w:t>
            </w:r>
          </w:p>
          <w:p w:rsidR="004F3D79" w:rsidRDefault="004F3D79" w:rsidP="004F3D79">
            <w:pPr>
              <w:spacing w:after="0" w:line="240" w:lineRule="auto"/>
              <w:ind w:left="524" w:hanging="283"/>
              <w:rPr>
                <w:rFonts w:ascii="Times New Roman" w:hAnsi="Times New Roman"/>
                <w:sz w:val="21"/>
                <w:szCs w:val="21"/>
              </w:rPr>
            </w:pPr>
            <w:r>
              <w:rPr>
                <w:rFonts w:ascii="Times New Roman" w:hAnsi="Times New Roman"/>
                <w:sz w:val="21"/>
                <w:szCs w:val="21"/>
              </w:rPr>
              <w:t xml:space="preserve">2.2. </w:t>
            </w:r>
            <w:r w:rsidRPr="004F3D79">
              <w:rPr>
                <w:rFonts w:ascii="Times New Roman" w:hAnsi="Times New Roman"/>
                <w:sz w:val="21"/>
                <w:szCs w:val="21"/>
              </w:rPr>
              <w:t>Viltotas eiro monētas, jaunākie viltojumi un to</w:t>
            </w:r>
            <w:r w:rsidR="001222FA">
              <w:rPr>
                <w:rFonts w:ascii="Times New Roman" w:hAnsi="Times New Roman"/>
                <w:sz w:val="21"/>
                <w:szCs w:val="21"/>
              </w:rPr>
              <w:t xml:space="preserve"> atpazīšana</w:t>
            </w:r>
            <w:r w:rsidRPr="004F3D79">
              <w:rPr>
                <w:rFonts w:ascii="Times New Roman" w:hAnsi="Times New Roman"/>
                <w:sz w:val="21"/>
                <w:szCs w:val="21"/>
              </w:rPr>
              <w:t>.</w:t>
            </w:r>
          </w:p>
          <w:p w:rsidR="00870A58" w:rsidRPr="001F7910" w:rsidRDefault="004F3D79" w:rsidP="00DC4610">
            <w:pPr>
              <w:spacing w:after="0" w:line="240" w:lineRule="auto"/>
              <w:ind w:left="524" w:hanging="283"/>
              <w:rPr>
                <w:rFonts w:ascii="Times New Roman" w:hAnsi="Times New Roman"/>
                <w:sz w:val="21"/>
                <w:szCs w:val="21"/>
              </w:rPr>
            </w:pPr>
            <w:r>
              <w:rPr>
                <w:rFonts w:ascii="Times New Roman" w:hAnsi="Times New Roman"/>
                <w:sz w:val="21"/>
                <w:szCs w:val="21"/>
              </w:rPr>
              <w:t xml:space="preserve">2.3. </w:t>
            </w:r>
            <w:r w:rsidRPr="004F3D79">
              <w:rPr>
                <w:rFonts w:ascii="Times New Roman" w:hAnsi="Times New Roman"/>
                <w:sz w:val="21"/>
                <w:szCs w:val="21"/>
              </w:rPr>
              <w:t>Datu bāze CMS-2. Viltotu eiro banknošu un monētu klasifikācija</w:t>
            </w:r>
          </w:p>
        </w:tc>
        <w:tc>
          <w:tcPr>
            <w:tcW w:w="1270" w:type="dxa"/>
            <w:vAlign w:val="center"/>
          </w:tcPr>
          <w:p w:rsidR="00870A58" w:rsidRDefault="00DC4610" w:rsidP="004F3D79">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w:t>
            </w:r>
            <w:r w:rsidR="004F3D79">
              <w:rPr>
                <w:rFonts w:ascii="Times New Roman" w:hAnsi="Times New Roman"/>
                <w:sz w:val="21"/>
                <w:szCs w:val="21"/>
              </w:rPr>
              <w:t xml:space="preserve"> </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042E83">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965777" w:rsidRPr="00965777"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A.Antiņš,</w:t>
            </w:r>
          </w:p>
          <w:p w:rsidR="00965777" w:rsidRPr="00965777"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E.Bērziņš,</w:t>
            </w:r>
          </w:p>
          <w:p w:rsidR="00870A58"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A.Tauriņš</w:t>
            </w:r>
          </w:p>
        </w:tc>
      </w:tr>
      <w:tr w:rsidR="00870A58" w:rsidRPr="002C4D93" w:rsidTr="00B42745">
        <w:trPr>
          <w:trHeight w:val="1142"/>
        </w:trPr>
        <w:tc>
          <w:tcPr>
            <w:tcW w:w="534" w:type="dxa"/>
            <w:vAlign w:val="center"/>
          </w:tcPr>
          <w:p w:rsidR="00870A58" w:rsidRDefault="00D61AB4">
            <w:pPr>
              <w:spacing w:after="0" w:line="240" w:lineRule="auto"/>
              <w:jc w:val="center"/>
              <w:rPr>
                <w:rFonts w:ascii="Times New Roman" w:hAnsi="Times New Roman"/>
                <w:sz w:val="20"/>
                <w:szCs w:val="20"/>
              </w:rPr>
            </w:pPr>
            <w:r>
              <w:rPr>
                <w:rFonts w:ascii="Times New Roman" w:hAnsi="Times New Roman"/>
                <w:sz w:val="20"/>
                <w:szCs w:val="20"/>
              </w:rPr>
              <w:t>3</w:t>
            </w:r>
            <w:r w:rsidR="00870A58">
              <w:rPr>
                <w:rFonts w:ascii="Times New Roman" w:hAnsi="Times New Roman"/>
                <w:sz w:val="20"/>
                <w:szCs w:val="20"/>
              </w:rPr>
              <w:t>.</w:t>
            </w:r>
          </w:p>
        </w:tc>
        <w:tc>
          <w:tcPr>
            <w:tcW w:w="850" w:type="dxa"/>
            <w:vAlign w:val="center"/>
          </w:tcPr>
          <w:p w:rsidR="00870A58" w:rsidRPr="00A85F01" w:rsidRDefault="00870A58" w:rsidP="00FF7657">
            <w:pPr>
              <w:spacing w:after="0" w:line="240" w:lineRule="auto"/>
              <w:jc w:val="center"/>
              <w:rPr>
                <w:rFonts w:ascii="Times New Roman" w:hAnsi="Times New Roman"/>
                <w:sz w:val="21"/>
                <w:szCs w:val="21"/>
              </w:rPr>
            </w:pPr>
            <w:r w:rsidRPr="00A85F01">
              <w:rPr>
                <w:rFonts w:ascii="Times New Roman" w:hAnsi="Times New Roman"/>
                <w:sz w:val="21"/>
                <w:szCs w:val="21"/>
              </w:rPr>
              <w:t>12:</w:t>
            </w:r>
            <w:r w:rsidR="00FF7657" w:rsidRPr="00A85F01">
              <w:rPr>
                <w:rFonts w:ascii="Times New Roman" w:hAnsi="Times New Roman"/>
                <w:sz w:val="21"/>
                <w:szCs w:val="21"/>
              </w:rPr>
              <w:t>45</w:t>
            </w:r>
            <w:r w:rsidRPr="00A85F01">
              <w:rPr>
                <w:rFonts w:ascii="Times New Roman" w:hAnsi="Times New Roman"/>
                <w:sz w:val="21"/>
                <w:szCs w:val="21"/>
              </w:rPr>
              <w:t>-1</w:t>
            </w:r>
            <w:r w:rsidR="00113142" w:rsidRPr="00A85F01">
              <w:rPr>
                <w:rFonts w:ascii="Times New Roman" w:hAnsi="Times New Roman"/>
                <w:sz w:val="21"/>
                <w:szCs w:val="21"/>
              </w:rPr>
              <w:t>4</w:t>
            </w:r>
            <w:r w:rsidRPr="00A85F01">
              <w:rPr>
                <w:rFonts w:ascii="Times New Roman" w:hAnsi="Times New Roman"/>
                <w:sz w:val="21"/>
                <w:szCs w:val="21"/>
              </w:rPr>
              <w:t>:</w:t>
            </w:r>
            <w:r w:rsidR="00113142" w:rsidRPr="00A85F01">
              <w:rPr>
                <w:rFonts w:ascii="Times New Roman" w:hAnsi="Times New Roman"/>
                <w:sz w:val="21"/>
                <w:szCs w:val="21"/>
              </w:rPr>
              <w:t>15</w:t>
            </w:r>
          </w:p>
        </w:tc>
        <w:tc>
          <w:tcPr>
            <w:tcW w:w="2504" w:type="dxa"/>
            <w:gridSpan w:val="2"/>
            <w:vAlign w:val="center"/>
          </w:tcPr>
          <w:p w:rsidR="00965777" w:rsidRDefault="00965777" w:rsidP="00965777">
            <w:pPr>
              <w:spacing w:after="0"/>
              <w:ind w:left="524" w:hanging="283"/>
              <w:rPr>
                <w:rFonts w:ascii="Times New Roman" w:hAnsi="Times New Roman"/>
                <w:sz w:val="21"/>
                <w:szCs w:val="21"/>
              </w:rPr>
            </w:pPr>
            <w:r>
              <w:rPr>
                <w:rFonts w:ascii="Times New Roman" w:hAnsi="Times New Roman"/>
                <w:sz w:val="21"/>
                <w:szCs w:val="21"/>
              </w:rPr>
              <w:t xml:space="preserve">3.1. </w:t>
            </w:r>
            <w:r w:rsidRPr="00965777">
              <w:rPr>
                <w:rFonts w:ascii="Times New Roman" w:hAnsi="Times New Roman"/>
                <w:sz w:val="21"/>
                <w:szCs w:val="21"/>
              </w:rPr>
              <w:t>Ārvalstu naudaszīmju viltojumi, to atpazīšana (ASV dolāri, Anglijas mārciņas, Krievijas rubļi, Zviedrijas kronas)</w:t>
            </w:r>
          </w:p>
          <w:p w:rsidR="00870A58" w:rsidRDefault="00965777" w:rsidP="003803FC">
            <w:pPr>
              <w:spacing w:after="0"/>
              <w:ind w:left="524" w:hanging="283"/>
              <w:rPr>
                <w:rFonts w:ascii="Times New Roman" w:hAnsi="Times New Roman"/>
                <w:sz w:val="21"/>
                <w:szCs w:val="21"/>
              </w:rPr>
            </w:pPr>
            <w:r>
              <w:rPr>
                <w:rFonts w:ascii="Times New Roman" w:hAnsi="Times New Roman"/>
                <w:sz w:val="21"/>
                <w:szCs w:val="21"/>
              </w:rPr>
              <w:t xml:space="preserve">3.2. </w:t>
            </w:r>
            <w:r w:rsidRPr="00965777">
              <w:rPr>
                <w:rFonts w:ascii="Times New Roman" w:hAnsi="Times New Roman"/>
                <w:sz w:val="21"/>
                <w:szCs w:val="21"/>
              </w:rPr>
              <w:t xml:space="preserve">Ekspertīze Latvijas Bankā, ekspertu atzinumi, un materiālu iesniegšanas un izsniegšanas kārtība. Pieļautās kļūdas ekspertīžu noteikšanā (piemēri). </w:t>
            </w:r>
            <w:r w:rsidR="003803FC">
              <w:rPr>
                <w:rFonts w:ascii="Times New Roman" w:hAnsi="Times New Roman"/>
                <w:sz w:val="21"/>
                <w:szCs w:val="21"/>
              </w:rPr>
              <w:t>Ekspertīžu i</w:t>
            </w:r>
            <w:r w:rsidRPr="00965777">
              <w:rPr>
                <w:rFonts w:ascii="Times New Roman" w:hAnsi="Times New Roman"/>
                <w:sz w:val="21"/>
                <w:szCs w:val="21"/>
              </w:rPr>
              <w:t>zpildes termiņi.</w:t>
            </w:r>
          </w:p>
        </w:tc>
        <w:tc>
          <w:tcPr>
            <w:tcW w:w="1270" w:type="dxa"/>
            <w:vAlign w:val="center"/>
          </w:tcPr>
          <w:p w:rsidR="00870A58" w:rsidRDefault="00DC4610" w:rsidP="004F3D79">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w:t>
            </w:r>
            <w:r w:rsidR="004F3D79">
              <w:rPr>
                <w:rFonts w:ascii="Times New Roman" w:hAnsi="Times New Roman"/>
                <w:sz w:val="21"/>
                <w:szCs w:val="21"/>
              </w:rPr>
              <w:t xml:space="preserve"> </w:t>
            </w:r>
          </w:p>
        </w:tc>
        <w:tc>
          <w:tcPr>
            <w:tcW w:w="562" w:type="dxa"/>
            <w:vAlign w:val="center"/>
          </w:tcPr>
          <w:p w:rsidR="00870A58" w:rsidRDefault="00113142">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E20211">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257" w:type="dxa"/>
            <w:gridSpan w:val="2"/>
            <w:vAlign w:val="center"/>
          </w:tcPr>
          <w:p w:rsidR="00965777" w:rsidRPr="00965777"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A.Antiņš,</w:t>
            </w:r>
          </w:p>
          <w:p w:rsidR="00965777" w:rsidRPr="00965777"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E.Bērziņš,</w:t>
            </w:r>
          </w:p>
          <w:p w:rsidR="005F2E08" w:rsidRDefault="00965777" w:rsidP="00965777">
            <w:pPr>
              <w:spacing w:after="0" w:line="240" w:lineRule="auto"/>
              <w:rPr>
                <w:rFonts w:ascii="Times New Roman" w:hAnsi="Times New Roman"/>
                <w:sz w:val="21"/>
                <w:szCs w:val="21"/>
              </w:rPr>
            </w:pPr>
            <w:r w:rsidRPr="00965777">
              <w:rPr>
                <w:rFonts w:ascii="Times New Roman" w:hAnsi="Times New Roman"/>
                <w:sz w:val="21"/>
                <w:szCs w:val="21"/>
              </w:rPr>
              <w:t>A.Tauriņš</w:t>
            </w:r>
          </w:p>
        </w:tc>
      </w:tr>
      <w:tr w:rsidR="00870A58" w:rsidTr="008A2FE0">
        <w:trPr>
          <w:trHeight w:val="1449"/>
        </w:trPr>
        <w:tc>
          <w:tcPr>
            <w:tcW w:w="534" w:type="dxa"/>
            <w:vAlign w:val="center"/>
          </w:tcPr>
          <w:p w:rsidR="00870A58" w:rsidRDefault="00D61AB4" w:rsidP="00D61AB4">
            <w:pPr>
              <w:spacing w:after="0" w:line="240" w:lineRule="auto"/>
              <w:jc w:val="center"/>
              <w:rPr>
                <w:rFonts w:ascii="Times New Roman" w:hAnsi="Times New Roman"/>
                <w:sz w:val="20"/>
                <w:szCs w:val="20"/>
              </w:rPr>
            </w:pPr>
            <w:r>
              <w:rPr>
                <w:rFonts w:ascii="Times New Roman" w:hAnsi="Times New Roman"/>
                <w:sz w:val="20"/>
                <w:szCs w:val="20"/>
              </w:rPr>
              <w:lastRenderedPageBreak/>
              <w:t>4</w:t>
            </w:r>
            <w:r w:rsidR="00870A58">
              <w:rPr>
                <w:rFonts w:ascii="Times New Roman" w:hAnsi="Times New Roman"/>
                <w:sz w:val="20"/>
                <w:szCs w:val="20"/>
              </w:rPr>
              <w:t>.</w:t>
            </w:r>
          </w:p>
        </w:tc>
        <w:tc>
          <w:tcPr>
            <w:tcW w:w="850" w:type="dxa"/>
            <w:vAlign w:val="center"/>
          </w:tcPr>
          <w:p w:rsidR="00870A58" w:rsidRPr="00A85F01" w:rsidRDefault="00870A58" w:rsidP="0023146D">
            <w:pPr>
              <w:spacing w:after="0" w:line="240" w:lineRule="auto"/>
              <w:jc w:val="center"/>
              <w:rPr>
                <w:rFonts w:ascii="Times New Roman" w:hAnsi="Times New Roman"/>
                <w:sz w:val="21"/>
                <w:szCs w:val="21"/>
              </w:rPr>
            </w:pPr>
            <w:r w:rsidRPr="00A85F01">
              <w:rPr>
                <w:rFonts w:ascii="Times New Roman" w:hAnsi="Times New Roman"/>
                <w:sz w:val="21"/>
                <w:szCs w:val="21"/>
              </w:rPr>
              <w:t>14:</w:t>
            </w:r>
            <w:r w:rsidR="0023146D" w:rsidRPr="00A85F01">
              <w:rPr>
                <w:rFonts w:ascii="Times New Roman" w:hAnsi="Times New Roman"/>
                <w:sz w:val="21"/>
                <w:szCs w:val="21"/>
              </w:rPr>
              <w:t>30</w:t>
            </w:r>
            <w:r w:rsidRPr="00A85F01">
              <w:rPr>
                <w:rFonts w:ascii="Times New Roman" w:hAnsi="Times New Roman"/>
                <w:sz w:val="21"/>
                <w:szCs w:val="21"/>
              </w:rPr>
              <w:t>-16:</w:t>
            </w:r>
            <w:r w:rsidR="0023146D" w:rsidRPr="00A85F01">
              <w:rPr>
                <w:rFonts w:ascii="Times New Roman" w:hAnsi="Times New Roman"/>
                <w:sz w:val="21"/>
                <w:szCs w:val="21"/>
              </w:rPr>
              <w:t>0</w:t>
            </w:r>
            <w:r w:rsidRPr="00A85F01">
              <w:rPr>
                <w:rFonts w:ascii="Times New Roman" w:hAnsi="Times New Roman"/>
                <w:sz w:val="21"/>
                <w:szCs w:val="21"/>
              </w:rPr>
              <w:t>0</w:t>
            </w:r>
          </w:p>
        </w:tc>
        <w:tc>
          <w:tcPr>
            <w:tcW w:w="2504" w:type="dxa"/>
            <w:gridSpan w:val="2"/>
            <w:vAlign w:val="center"/>
          </w:tcPr>
          <w:p w:rsidR="006A5D15" w:rsidRDefault="006A5D15" w:rsidP="006A5D15">
            <w:pPr>
              <w:ind w:left="524" w:hanging="283"/>
              <w:rPr>
                <w:rFonts w:ascii="Times New Roman" w:hAnsi="Times New Roman"/>
                <w:sz w:val="21"/>
                <w:szCs w:val="21"/>
              </w:rPr>
            </w:pPr>
            <w:r>
              <w:rPr>
                <w:rFonts w:ascii="Times New Roman" w:hAnsi="Times New Roman"/>
                <w:sz w:val="21"/>
                <w:szCs w:val="21"/>
              </w:rPr>
              <w:t xml:space="preserve">4.1. </w:t>
            </w:r>
            <w:r w:rsidRPr="006A5D15">
              <w:rPr>
                <w:rFonts w:ascii="Times New Roman" w:hAnsi="Times New Roman"/>
                <w:sz w:val="21"/>
                <w:szCs w:val="21"/>
              </w:rPr>
              <w:t>Nacionālā centrālā iestāde viltotas naudas apkarošan</w:t>
            </w:r>
            <w:r w:rsidR="008C1DEC">
              <w:rPr>
                <w:rFonts w:ascii="Times New Roman" w:hAnsi="Times New Roman"/>
                <w:sz w:val="21"/>
                <w:szCs w:val="21"/>
              </w:rPr>
              <w:t>ā</w:t>
            </w:r>
            <w:r w:rsidRPr="006A5D15">
              <w:rPr>
                <w:rFonts w:ascii="Times New Roman" w:hAnsi="Times New Roman"/>
                <w:sz w:val="21"/>
                <w:szCs w:val="21"/>
              </w:rPr>
              <w:t>.</w:t>
            </w:r>
          </w:p>
          <w:p w:rsidR="006A5D15" w:rsidRDefault="006A5D15" w:rsidP="006A5D15">
            <w:pPr>
              <w:ind w:left="524" w:hanging="283"/>
              <w:rPr>
                <w:rFonts w:ascii="Times New Roman" w:hAnsi="Times New Roman"/>
                <w:sz w:val="21"/>
                <w:szCs w:val="21"/>
              </w:rPr>
            </w:pPr>
            <w:r>
              <w:rPr>
                <w:rFonts w:ascii="Times New Roman" w:hAnsi="Times New Roman"/>
                <w:sz w:val="21"/>
                <w:szCs w:val="21"/>
              </w:rPr>
              <w:t xml:space="preserve">4.2. </w:t>
            </w:r>
            <w:r w:rsidRPr="006A5D15">
              <w:rPr>
                <w:rFonts w:ascii="Times New Roman" w:hAnsi="Times New Roman"/>
                <w:sz w:val="21"/>
                <w:szCs w:val="21"/>
              </w:rPr>
              <w:t xml:space="preserve">Informācijas aprites un pieprasīšanas kārtība </w:t>
            </w:r>
            <w:r w:rsidR="003803FC">
              <w:rPr>
                <w:rFonts w:ascii="Times New Roman" w:hAnsi="Times New Roman"/>
                <w:sz w:val="21"/>
                <w:szCs w:val="21"/>
              </w:rPr>
              <w:t>p</w:t>
            </w:r>
            <w:r w:rsidRPr="006A5D15">
              <w:rPr>
                <w:rFonts w:ascii="Times New Roman" w:hAnsi="Times New Roman"/>
                <w:sz w:val="21"/>
                <w:szCs w:val="21"/>
              </w:rPr>
              <w:t>ar konstatētiem naudas viltošan</w:t>
            </w:r>
            <w:r>
              <w:rPr>
                <w:rFonts w:ascii="Times New Roman" w:hAnsi="Times New Roman"/>
                <w:sz w:val="21"/>
                <w:szCs w:val="21"/>
              </w:rPr>
              <w:t>as un izplatīšanas gadījumiem.</w:t>
            </w:r>
          </w:p>
          <w:p w:rsidR="00870A58" w:rsidRPr="00513AAF" w:rsidRDefault="006A5D15" w:rsidP="006A5D15">
            <w:pPr>
              <w:ind w:left="524" w:hanging="283"/>
              <w:rPr>
                <w:rFonts w:ascii="Times New Roman" w:hAnsi="Times New Roman"/>
                <w:sz w:val="21"/>
                <w:szCs w:val="21"/>
              </w:rPr>
            </w:pPr>
            <w:r>
              <w:rPr>
                <w:rFonts w:ascii="Times New Roman" w:hAnsi="Times New Roman"/>
                <w:sz w:val="21"/>
                <w:szCs w:val="21"/>
              </w:rPr>
              <w:t xml:space="preserve">4.3. </w:t>
            </w:r>
            <w:r w:rsidRPr="006A5D15">
              <w:rPr>
                <w:rFonts w:ascii="Times New Roman" w:hAnsi="Times New Roman"/>
                <w:sz w:val="21"/>
                <w:szCs w:val="21"/>
              </w:rPr>
              <w:t>Steidzamu ekspertīžu pieteikšanas kārtība Valsts policijā.</w:t>
            </w:r>
          </w:p>
        </w:tc>
        <w:tc>
          <w:tcPr>
            <w:tcW w:w="1270" w:type="dxa"/>
            <w:vAlign w:val="center"/>
          </w:tcPr>
          <w:p w:rsidR="00870A58" w:rsidRDefault="003803FC" w:rsidP="004F3D79">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w:t>
            </w:r>
            <w:r w:rsidR="004F3D79">
              <w:rPr>
                <w:rFonts w:ascii="Times New Roman" w:hAnsi="Times New Roman"/>
                <w:sz w:val="21"/>
                <w:szCs w:val="21"/>
              </w:rPr>
              <w:t xml:space="preserve"> </w:t>
            </w:r>
          </w:p>
        </w:tc>
        <w:tc>
          <w:tcPr>
            <w:tcW w:w="562" w:type="dxa"/>
            <w:vAlign w:val="center"/>
          </w:tcPr>
          <w:p w:rsidR="00870A58" w:rsidRDefault="002E7C5A">
            <w:pPr>
              <w:spacing w:after="0" w:line="240" w:lineRule="auto"/>
              <w:jc w:val="center"/>
              <w:rPr>
                <w:rFonts w:ascii="Times New Roman" w:hAnsi="Times New Roman"/>
                <w:sz w:val="21"/>
                <w:szCs w:val="21"/>
              </w:rPr>
            </w:pPr>
            <w:r>
              <w:rPr>
                <w:rFonts w:ascii="Times New Roman" w:hAnsi="Times New Roman"/>
                <w:sz w:val="21"/>
                <w:szCs w:val="21"/>
              </w:rPr>
              <w:t>2</w:t>
            </w:r>
          </w:p>
        </w:tc>
        <w:tc>
          <w:tcPr>
            <w:tcW w:w="562" w:type="dxa"/>
            <w:vAlign w:val="center"/>
          </w:tcPr>
          <w:p w:rsidR="00870A58" w:rsidRDefault="002E7C5A">
            <w:pPr>
              <w:spacing w:after="0" w:line="240" w:lineRule="auto"/>
              <w:jc w:val="center"/>
              <w:rPr>
                <w:rFonts w:ascii="Times New Roman" w:hAnsi="Times New Roman"/>
                <w:sz w:val="21"/>
                <w:szCs w:val="21"/>
              </w:rPr>
            </w:pPr>
            <w:r>
              <w:rPr>
                <w:rFonts w:ascii="Times New Roman" w:hAnsi="Times New Roman"/>
                <w:sz w:val="21"/>
                <w:szCs w:val="21"/>
              </w:rPr>
              <w:t>-</w:t>
            </w:r>
          </w:p>
        </w:tc>
        <w:tc>
          <w:tcPr>
            <w:tcW w:w="562" w:type="dxa"/>
            <w:vAlign w:val="center"/>
          </w:tcPr>
          <w:p w:rsidR="00870A58" w:rsidRDefault="0023146D">
            <w:pPr>
              <w:spacing w:after="0" w:line="240" w:lineRule="auto"/>
              <w:jc w:val="center"/>
              <w:rPr>
                <w:rFonts w:ascii="Times New Roman" w:hAnsi="Times New Roman"/>
                <w:sz w:val="21"/>
                <w:szCs w:val="21"/>
              </w:rPr>
            </w:pPr>
            <w:r>
              <w:rPr>
                <w:rFonts w:ascii="Times New Roman" w:hAnsi="Times New Roman"/>
                <w:sz w:val="21"/>
                <w:szCs w:val="21"/>
              </w:rPr>
              <w:t>2</w:t>
            </w:r>
          </w:p>
        </w:tc>
        <w:tc>
          <w:tcPr>
            <w:tcW w:w="1413" w:type="dxa"/>
            <w:vAlign w:val="center"/>
          </w:tcPr>
          <w:p w:rsidR="00B42745" w:rsidRDefault="002E7C5A">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r w:rsidR="00870A58">
              <w:rPr>
                <w:rFonts w:ascii="Times New Roman" w:hAnsi="Times New Roman"/>
                <w:sz w:val="21"/>
                <w:szCs w:val="21"/>
              </w:rPr>
              <w:t xml:space="preserve"> </w:t>
            </w:r>
          </w:p>
          <w:p w:rsidR="00870A58" w:rsidRDefault="00870A58">
            <w:pPr>
              <w:spacing w:after="0" w:line="240" w:lineRule="auto"/>
              <w:ind w:left="-108" w:right="-108"/>
              <w:jc w:val="center"/>
              <w:rPr>
                <w:rFonts w:ascii="Times New Roman" w:hAnsi="Times New Roman"/>
                <w:sz w:val="21"/>
                <w:szCs w:val="21"/>
              </w:rPr>
            </w:pPr>
          </w:p>
        </w:tc>
        <w:tc>
          <w:tcPr>
            <w:tcW w:w="1257" w:type="dxa"/>
            <w:gridSpan w:val="2"/>
            <w:vAlign w:val="center"/>
          </w:tcPr>
          <w:p w:rsidR="00870A58" w:rsidRDefault="002E7C5A" w:rsidP="00042E83">
            <w:pPr>
              <w:spacing w:after="0" w:line="240" w:lineRule="auto"/>
              <w:rPr>
                <w:rFonts w:ascii="Times New Roman" w:hAnsi="Times New Roman"/>
                <w:sz w:val="21"/>
                <w:szCs w:val="21"/>
              </w:rPr>
            </w:pPr>
            <w:r>
              <w:rPr>
                <w:rFonts w:ascii="Times New Roman" w:hAnsi="Times New Roman"/>
                <w:sz w:val="21"/>
                <w:szCs w:val="21"/>
              </w:rPr>
              <w:t>R.Kalnačs</w:t>
            </w:r>
          </w:p>
        </w:tc>
      </w:tr>
      <w:tr w:rsidR="00870A58" w:rsidTr="00B42745">
        <w:tc>
          <w:tcPr>
            <w:tcW w:w="5158"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62" w:type="dxa"/>
            <w:vAlign w:val="center"/>
          </w:tcPr>
          <w:p w:rsidR="00870A58" w:rsidRDefault="002E7C5A">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562" w:type="dxa"/>
            <w:vAlign w:val="center"/>
          </w:tcPr>
          <w:p w:rsidR="00870A58" w:rsidRDefault="002E7C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562"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670"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RPr="00A85F01" w:rsidTr="00A96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2725" w:type="dxa"/>
            <w:gridSpan w:val="3"/>
          </w:tcPr>
          <w:p w:rsidR="00A96C20" w:rsidRPr="00A85F01" w:rsidRDefault="00A96C20" w:rsidP="004C6DB9">
            <w:pPr>
              <w:spacing w:after="0" w:line="240" w:lineRule="auto"/>
              <w:rPr>
                <w:rFonts w:ascii="Times New Roman" w:hAnsi="Times New Roman"/>
                <w:sz w:val="48"/>
                <w:szCs w:val="24"/>
              </w:rPr>
            </w:pPr>
          </w:p>
          <w:p w:rsidR="00870A58" w:rsidRPr="00A85F01" w:rsidRDefault="00870A58" w:rsidP="004C6DB9">
            <w:pPr>
              <w:spacing w:after="0" w:line="240" w:lineRule="auto"/>
              <w:rPr>
                <w:rFonts w:ascii="Times New Roman" w:hAnsi="Times New Roman"/>
                <w:sz w:val="28"/>
                <w:szCs w:val="24"/>
              </w:rPr>
            </w:pPr>
            <w:r w:rsidRPr="00A85F01">
              <w:rPr>
                <w:rFonts w:ascii="Times New Roman" w:hAnsi="Times New Roman"/>
                <w:sz w:val="28"/>
                <w:szCs w:val="24"/>
              </w:rPr>
              <w:t>Izmantojamās literatūras un avotu saraksts:</w:t>
            </w:r>
          </w:p>
          <w:p w:rsidR="00870A58" w:rsidRPr="00A85F01" w:rsidRDefault="00870A58" w:rsidP="00624FE1">
            <w:pPr>
              <w:pStyle w:val="BodyText"/>
              <w:spacing w:line="360" w:lineRule="auto"/>
              <w:rPr>
                <w:bCs/>
                <w:sz w:val="28"/>
              </w:rPr>
            </w:pPr>
          </w:p>
        </w:tc>
        <w:tc>
          <w:tcPr>
            <w:tcW w:w="6743" w:type="dxa"/>
            <w:gridSpan w:val="7"/>
          </w:tcPr>
          <w:p w:rsidR="00870A58" w:rsidRPr="00A85F01" w:rsidRDefault="00870A58" w:rsidP="00A96C20">
            <w:pPr>
              <w:spacing w:before="100" w:beforeAutospacing="1" w:after="100" w:afterAutospacing="1" w:line="240" w:lineRule="auto"/>
              <w:contextualSpacing/>
              <w:rPr>
                <w:rFonts w:ascii="Times New Roman" w:hAnsi="Times New Roman"/>
                <w:sz w:val="28"/>
                <w:szCs w:val="24"/>
                <w:lang w:eastAsia="ru-RU"/>
              </w:rPr>
            </w:pPr>
          </w:p>
          <w:p w:rsidR="00B0210C" w:rsidRPr="00A85F01" w:rsidRDefault="00B0210C" w:rsidP="00A85F01">
            <w:pPr>
              <w:pStyle w:val="msonormalcxspmiddle"/>
              <w:numPr>
                <w:ilvl w:val="0"/>
                <w:numId w:val="6"/>
              </w:numPr>
              <w:tabs>
                <w:tab w:val="clear" w:pos="720"/>
                <w:tab w:val="num" w:pos="627"/>
              </w:tabs>
              <w:ind w:left="565" w:hanging="505"/>
              <w:contextualSpacing/>
              <w:jc w:val="both"/>
              <w:rPr>
                <w:sz w:val="28"/>
                <w:lang w:val="lv-LV"/>
              </w:rPr>
            </w:pPr>
            <w:r w:rsidRPr="00A85F01">
              <w:rPr>
                <w:sz w:val="28"/>
                <w:lang w:val="lv-LV"/>
              </w:rPr>
              <w:t>Albanie, Germany,  United States of America, Austria, Belgium, etc. International Convention for the Suppression of Counterfeitig Currency and Protocol. Signed at Geneva. April 20, 1929;</w:t>
            </w:r>
          </w:p>
          <w:p w:rsidR="00B0210C" w:rsidRPr="00A85F01" w:rsidRDefault="00B0210C" w:rsidP="00A85F01">
            <w:pPr>
              <w:pStyle w:val="msonormalcxspmiddle"/>
              <w:numPr>
                <w:ilvl w:val="0"/>
                <w:numId w:val="6"/>
              </w:numPr>
              <w:tabs>
                <w:tab w:val="clear" w:pos="720"/>
                <w:tab w:val="num" w:pos="627"/>
              </w:tabs>
              <w:ind w:left="565" w:hanging="505"/>
              <w:contextualSpacing/>
              <w:jc w:val="both"/>
              <w:rPr>
                <w:sz w:val="28"/>
                <w:lang w:val="lv-LV"/>
              </w:rPr>
            </w:pPr>
            <w:r w:rsidRPr="00A85F01">
              <w:rPr>
                <w:sz w:val="28"/>
                <w:lang w:val="lv-LV"/>
              </w:rPr>
              <w:t>Padomes regula (EK) Nr. 1338/2001 ar kuru paredz pasākumus, kas vajadzīgi ›C1 euro‹ aizsardzībai pret viltošanu, 2001.gada 28.jūnijs;</w:t>
            </w:r>
          </w:p>
          <w:p w:rsidR="00B0210C" w:rsidRPr="00A85F01" w:rsidRDefault="00B0210C" w:rsidP="00A85F01">
            <w:pPr>
              <w:pStyle w:val="msonormalcxspmiddle"/>
              <w:numPr>
                <w:ilvl w:val="0"/>
                <w:numId w:val="6"/>
              </w:numPr>
              <w:tabs>
                <w:tab w:val="clear" w:pos="720"/>
                <w:tab w:val="num" w:pos="627"/>
              </w:tabs>
              <w:ind w:left="565" w:hanging="505"/>
              <w:contextualSpacing/>
              <w:jc w:val="both"/>
              <w:rPr>
                <w:sz w:val="28"/>
                <w:lang w:val="lv-LV"/>
              </w:rPr>
            </w:pPr>
            <w:r w:rsidRPr="00A85F01">
              <w:rPr>
                <w:sz w:val="28"/>
                <w:lang w:val="lv-LV"/>
              </w:rPr>
              <w:t>Padomes pamatlēmums par pastiprinātu aizsardzību, izmantojot kriminālsodus un citas sankcijas, pret naudas viltošanu saistībā ar euro ieviešanu (2000/383/TI), 2000.gada 29.maijs;</w:t>
            </w:r>
          </w:p>
          <w:p w:rsidR="00B42745" w:rsidRPr="00A85F01" w:rsidRDefault="00870A58" w:rsidP="00A85F01">
            <w:pPr>
              <w:pStyle w:val="msonormalcxspmiddle"/>
              <w:numPr>
                <w:ilvl w:val="0"/>
                <w:numId w:val="6"/>
              </w:numPr>
              <w:tabs>
                <w:tab w:val="clear" w:pos="720"/>
                <w:tab w:val="num" w:pos="627"/>
              </w:tabs>
              <w:ind w:left="565" w:hanging="505"/>
              <w:contextualSpacing/>
              <w:jc w:val="both"/>
              <w:rPr>
                <w:sz w:val="28"/>
                <w:lang w:val="lv-LV"/>
              </w:rPr>
            </w:pPr>
            <w:r w:rsidRPr="00A85F01">
              <w:rPr>
                <w:sz w:val="28"/>
                <w:lang w:val="lv-LV"/>
              </w:rPr>
              <w:t>Kriminālprocesa likums;</w:t>
            </w:r>
          </w:p>
          <w:p w:rsidR="00364DB0" w:rsidRPr="00A85F01" w:rsidRDefault="00364DB0" w:rsidP="00A85F01">
            <w:pPr>
              <w:pStyle w:val="msonormalcxspmiddle"/>
              <w:numPr>
                <w:ilvl w:val="0"/>
                <w:numId w:val="6"/>
              </w:numPr>
              <w:tabs>
                <w:tab w:val="clear" w:pos="720"/>
                <w:tab w:val="num" w:pos="627"/>
              </w:tabs>
              <w:ind w:left="565" w:hanging="505"/>
              <w:contextualSpacing/>
              <w:jc w:val="both"/>
              <w:rPr>
                <w:sz w:val="28"/>
                <w:lang w:val="lv-LV"/>
              </w:rPr>
            </w:pPr>
            <w:r w:rsidRPr="00A85F01">
              <w:rPr>
                <w:sz w:val="28"/>
                <w:lang w:val="lv-LV"/>
              </w:rPr>
              <w:t>Krimināllikums;</w:t>
            </w:r>
          </w:p>
          <w:p w:rsidR="00B0210C" w:rsidRPr="00A85F01" w:rsidRDefault="00B0210C" w:rsidP="00A85F01">
            <w:pPr>
              <w:pStyle w:val="ListParagraph"/>
              <w:numPr>
                <w:ilvl w:val="0"/>
                <w:numId w:val="6"/>
              </w:numPr>
              <w:tabs>
                <w:tab w:val="clear" w:pos="720"/>
                <w:tab w:val="num" w:pos="627"/>
              </w:tabs>
              <w:ind w:left="565" w:hanging="505"/>
              <w:jc w:val="both"/>
              <w:rPr>
                <w:rFonts w:ascii="Times New Roman" w:hAnsi="Times New Roman"/>
                <w:sz w:val="28"/>
                <w:szCs w:val="24"/>
                <w:lang w:eastAsia="ru-RU"/>
              </w:rPr>
            </w:pPr>
            <w:r w:rsidRPr="00A85F01">
              <w:rPr>
                <w:rFonts w:ascii="Times New Roman" w:hAnsi="Times New Roman"/>
                <w:sz w:val="28"/>
                <w:szCs w:val="24"/>
                <w:lang w:eastAsia="ru-RU"/>
              </w:rPr>
              <w:t>likums "Par centrālās iestādes noteikšanu saskaņā ar 1929.gada 20.aprīļa Starptautiskās konvencijas par naudas viltošanas apkarošanu 12.pantu";</w:t>
            </w:r>
          </w:p>
          <w:p w:rsidR="00B0210C" w:rsidRPr="00A85F01" w:rsidRDefault="00B0210C" w:rsidP="00A85F01">
            <w:pPr>
              <w:pStyle w:val="ListParagraph"/>
              <w:numPr>
                <w:ilvl w:val="0"/>
                <w:numId w:val="6"/>
              </w:numPr>
              <w:tabs>
                <w:tab w:val="clear" w:pos="720"/>
                <w:tab w:val="num" w:pos="627"/>
              </w:tabs>
              <w:ind w:left="565" w:hanging="505"/>
              <w:jc w:val="both"/>
              <w:rPr>
                <w:rFonts w:ascii="Times New Roman" w:hAnsi="Times New Roman"/>
                <w:sz w:val="28"/>
                <w:szCs w:val="24"/>
                <w:lang w:eastAsia="ru-RU"/>
              </w:rPr>
            </w:pPr>
            <w:r w:rsidRPr="00A85F01">
              <w:rPr>
                <w:rFonts w:ascii="Times New Roman" w:hAnsi="Times New Roman"/>
                <w:sz w:val="28"/>
                <w:szCs w:val="24"/>
                <w:lang w:eastAsia="ru-RU"/>
              </w:rPr>
              <w:t xml:space="preserve">,,Par viltotas naudas atklāšanas paziņošanu”, Latvijas Republikas Iekšlietu ministrija Valsts policija, 2014. gada 25.marts, </w:t>
            </w:r>
            <w:r w:rsidR="00B51D81" w:rsidRPr="00A85F01">
              <w:rPr>
                <w:rFonts w:ascii="Times New Roman" w:hAnsi="Times New Roman"/>
                <w:sz w:val="28"/>
                <w:szCs w:val="24"/>
                <w:lang w:eastAsia="ru-RU"/>
              </w:rPr>
              <w:t>Nr.20/8193;</w:t>
            </w:r>
          </w:p>
          <w:p w:rsidR="00B51D81" w:rsidRPr="00A85F01" w:rsidRDefault="00B51D81" w:rsidP="00A85F01">
            <w:pPr>
              <w:pStyle w:val="ListParagraph"/>
              <w:numPr>
                <w:ilvl w:val="0"/>
                <w:numId w:val="6"/>
              </w:numPr>
              <w:tabs>
                <w:tab w:val="clear" w:pos="720"/>
                <w:tab w:val="num" w:pos="627"/>
              </w:tabs>
              <w:ind w:left="565" w:hanging="505"/>
              <w:jc w:val="both"/>
              <w:rPr>
                <w:rFonts w:ascii="Times New Roman" w:hAnsi="Times New Roman"/>
                <w:sz w:val="28"/>
                <w:szCs w:val="24"/>
                <w:lang w:eastAsia="ru-RU"/>
              </w:rPr>
            </w:pPr>
            <w:r w:rsidRPr="00A85F01">
              <w:rPr>
                <w:rFonts w:ascii="Times New Roman" w:hAnsi="Times New Roman"/>
                <w:sz w:val="28"/>
                <w:szCs w:val="24"/>
                <w:lang w:eastAsia="ru-RU"/>
              </w:rPr>
              <w:t>Latvijas Bankas un Valsts policijas Sadarbības līgums par sadarbību naudas viltošanas novēršanā un atklāšanā, 2016.gada 17.jūnijs;</w:t>
            </w:r>
          </w:p>
          <w:p w:rsidR="00B51D81" w:rsidRPr="00A85F01" w:rsidRDefault="00B51D81" w:rsidP="00A85F01">
            <w:pPr>
              <w:pStyle w:val="ListParagraph"/>
              <w:numPr>
                <w:ilvl w:val="0"/>
                <w:numId w:val="6"/>
              </w:numPr>
              <w:tabs>
                <w:tab w:val="clear" w:pos="720"/>
                <w:tab w:val="num" w:pos="627"/>
              </w:tabs>
              <w:ind w:left="565" w:hanging="505"/>
              <w:jc w:val="both"/>
              <w:rPr>
                <w:rFonts w:ascii="Times New Roman" w:hAnsi="Times New Roman"/>
                <w:sz w:val="28"/>
                <w:szCs w:val="24"/>
                <w:lang w:eastAsia="ru-RU"/>
              </w:rPr>
            </w:pPr>
            <w:r w:rsidRPr="00A85F01">
              <w:rPr>
                <w:rFonts w:ascii="Times New Roman" w:hAnsi="Times New Roman"/>
                <w:sz w:val="28"/>
                <w:szCs w:val="24"/>
                <w:lang w:eastAsia="ru-RU"/>
              </w:rPr>
              <w:t xml:space="preserve">Latvijas Bankas paziņojums par naudas zīmju ar viltojuma pazīmēm identifikācijas kārtības pārmaiņām, </w:t>
            </w:r>
          </w:p>
          <w:p w:rsidR="00B0210C" w:rsidRPr="00A85F01" w:rsidRDefault="00B0210C" w:rsidP="00A85F01">
            <w:pPr>
              <w:pStyle w:val="ListParagraph"/>
              <w:numPr>
                <w:ilvl w:val="0"/>
                <w:numId w:val="6"/>
              </w:numPr>
              <w:tabs>
                <w:tab w:val="clear" w:pos="720"/>
                <w:tab w:val="num" w:pos="627"/>
              </w:tabs>
              <w:spacing w:after="0"/>
              <w:ind w:left="565" w:hanging="505"/>
              <w:jc w:val="both"/>
              <w:rPr>
                <w:rFonts w:ascii="Times New Roman" w:hAnsi="Times New Roman"/>
                <w:sz w:val="28"/>
                <w:szCs w:val="24"/>
                <w:lang w:eastAsia="ru-RU"/>
              </w:rPr>
            </w:pPr>
            <w:r w:rsidRPr="00A85F01">
              <w:rPr>
                <w:rFonts w:ascii="Times New Roman" w:hAnsi="Times New Roman"/>
                <w:sz w:val="28"/>
                <w:szCs w:val="24"/>
                <w:lang w:eastAsia="ru-RU"/>
              </w:rPr>
              <w:lastRenderedPageBreak/>
              <w:t>Prezentāciju materiāli no Latvijas bankas teorētiskā kursa par viltotas naudas apriti Latvijā un Eiropā;</w:t>
            </w:r>
          </w:p>
          <w:p w:rsidR="00B0210C" w:rsidRPr="00A85F01" w:rsidRDefault="00B0210C" w:rsidP="00A85F01">
            <w:pPr>
              <w:pStyle w:val="msonormalcxspmiddle"/>
              <w:numPr>
                <w:ilvl w:val="0"/>
                <w:numId w:val="6"/>
              </w:numPr>
              <w:tabs>
                <w:tab w:val="clear" w:pos="720"/>
                <w:tab w:val="num" w:pos="627"/>
              </w:tabs>
              <w:spacing w:after="0" w:afterAutospacing="0"/>
              <w:ind w:left="565" w:hanging="505"/>
              <w:contextualSpacing/>
              <w:jc w:val="both"/>
              <w:rPr>
                <w:sz w:val="28"/>
                <w:lang w:val="lv-LV"/>
              </w:rPr>
            </w:pPr>
            <w:r w:rsidRPr="00A85F01">
              <w:rPr>
                <w:sz w:val="28"/>
                <w:lang w:val="lv-LV"/>
              </w:rPr>
              <w:t>https://www.bank.lv/banknotes-un-monetas;</w:t>
            </w:r>
          </w:p>
          <w:p w:rsidR="00B0210C" w:rsidRPr="00A85F01" w:rsidRDefault="00A85F01" w:rsidP="00A85F01">
            <w:pPr>
              <w:pStyle w:val="msonormalcxspmiddle"/>
              <w:numPr>
                <w:ilvl w:val="0"/>
                <w:numId w:val="6"/>
              </w:numPr>
              <w:tabs>
                <w:tab w:val="clear" w:pos="720"/>
                <w:tab w:val="num" w:pos="627"/>
              </w:tabs>
              <w:spacing w:after="0" w:afterAutospacing="0"/>
              <w:ind w:left="565" w:hanging="505"/>
              <w:contextualSpacing/>
              <w:jc w:val="both"/>
              <w:rPr>
                <w:sz w:val="28"/>
                <w:lang w:val="lv-LV"/>
              </w:rPr>
            </w:pPr>
            <w:hyperlink r:id="rId5" w:history="1">
              <w:r w:rsidR="00B51D81" w:rsidRPr="00A85F01">
                <w:rPr>
                  <w:rStyle w:val="Hyperlink"/>
                  <w:sz w:val="28"/>
                  <w:lang w:val="lv-LV"/>
                </w:rPr>
                <w:t>https://www.bank.lv/banknotes-un-monetas/lata-naudas-zimes/naudas-viltojumi</w:t>
              </w:r>
            </w:hyperlink>
            <w:r w:rsidR="00B51D81" w:rsidRPr="00A85F01">
              <w:rPr>
                <w:sz w:val="28"/>
                <w:lang w:val="lv-LV"/>
              </w:rPr>
              <w:t>;</w:t>
            </w:r>
          </w:p>
          <w:p w:rsidR="00B42745" w:rsidRPr="00A85F01" w:rsidRDefault="00B51D81" w:rsidP="00A85F01">
            <w:pPr>
              <w:pStyle w:val="msonormalcxspmiddle"/>
              <w:numPr>
                <w:ilvl w:val="0"/>
                <w:numId w:val="6"/>
              </w:numPr>
              <w:tabs>
                <w:tab w:val="clear" w:pos="720"/>
                <w:tab w:val="num" w:pos="627"/>
              </w:tabs>
              <w:spacing w:after="0"/>
              <w:ind w:left="565" w:hanging="505"/>
              <w:contextualSpacing/>
              <w:jc w:val="both"/>
              <w:rPr>
                <w:sz w:val="28"/>
                <w:lang w:val="lv-LV"/>
              </w:rPr>
            </w:pPr>
            <w:r w:rsidRPr="00A85F01">
              <w:rPr>
                <w:sz w:val="28"/>
                <w:lang w:val="lv-LV"/>
              </w:rPr>
              <w:t>Pieprasījums kompetentās iestādes atzinuma par naudas zīmes autentiskumu sniegšanai.</w:t>
            </w:r>
          </w:p>
        </w:tc>
      </w:tr>
    </w:tbl>
    <w:p w:rsidR="00870A58" w:rsidRPr="00A85F01" w:rsidRDefault="00870A58" w:rsidP="00A85F01">
      <w:pPr>
        <w:shd w:val="clear" w:color="auto" w:fill="FFFFFF"/>
        <w:spacing w:after="0" w:line="240" w:lineRule="auto"/>
        <w:jc w:val="both"/>
        <w:rPr>
          <w:sz w:val="24"/>
        </w:rPr>
      </w:pPr>
    </w:p>
    <w:sectPr w:rsidR="00870A58" w:rsidRPr="00A85F01" w:rsidSect="00A85F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AA5470"/>
    <w:multiLevelType w:val="multilevel"/>
    <w:tmpl w:val="28629D30"/>
    <w:lvl w:ilvl="0">
      <w:start w:val="1"/>
      <w:numFmt w:val="decimal"/>
      <w:lvlText w:val="%1."/>
      <w:lvlJc w:val="left"/>
      <w:pPr>
        <w:ind w:left="360" w:hanging="360"/>
      </w:pPr>
      <w:rPr>
        <w:rFonts w:hint="default"/>
      </w:rPr>
    </w:lvl>
    <w:lvl w:ilvl="1">
      <w:start w:val="1"/>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2"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D477DA"/>
    <w:multiLevelType w:val="hybridMultilevel"/>
    <w:tmpl w:val="7D1C1278"/>
    <w:lvl w:ilvl="0" w:tplc="D0D04E3E">
      <w:start w:val="1"/>
      <w:numFmt w:val="bullet"/>
      <w:lvlText w:val="-"/>
      <w:lvlJc w:val="left"/>
      <w:pPr>
        <w:ind w:left="1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4464E">
      <w:start w:val="1"/>
      <w:numFmt w:val="bullet"/>
      <w:lvlText w:val="-"/>
      <w:lvlJc w:val="left"/>
      <w:pPr>
        <w:ind w:left="7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6369C">
      <w:start w:val="1"/>
      <w:numFmt w:val="bullet"/>
      <w:lvlText w:val="-"/>
      <w:lvlJc w:val="left"/>
      <w:pPr>
        <w:ind w:left="13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6A304C">
      <w:start w:val="1"/>
      <w:numFmt w:val="bullet"/>
      <w:lvlText w:val="-"/>
      <w:lvlJc w:val="left"/>
      <w:pPr>
        <w:ind w:left="19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546AA2">
      <w:start w:val="1"/>
      <w:numFmt w:val="bullet"/>
      <w:lvlText w:val="-"/>
      <w:lvlJc w:val="left"/>
      <w:pPr>
        <w:ind w:left="25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C2C0A">
      <w:start w:val="1"/>
      <w:numFmt w:val="bullet"/>
      <w:lvlText w:val="-"/>
      <w:lvlJc w:val="left"/>
      <w:pPr>
        <w:ind w:left="31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FA5B60">
      <w:start w:val="1"/>
      <w:numFmt w:val="bullet"/>
      <w:lvlText w:val="-"/>
      <w:lvlJc w:val="left"/>
      <w:pPr>
        <w:ind w:left="37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E06BD6">
      <w:start w:val="1"/>
      <w:numFmt w:val="bullet"/>
      <w:lvlText w:val="-"/>
      <w:lvlJc w:val="left"/>
      <w:pPr>
        <w:ind w:left="43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5A1514">
      <w:start w:val="1"/>
      <w:numFmt w:val="bullet"/>
      <w:lvlText w:val="-"/>
      <w:lvlJc w:val="left"/>
      <w:pPr>
        <w:ind w:left="496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61A5900"/>
    <w:multiLevelType w:val="hybridMultilevel"/>
    <w:tmpl w:val="74DEFBEE"/>
    <w:lvl w:ilvl="0" w:tplc="987C39BC">
      <w:start w:val="1"/>
      <w:numFmt w:val="decimal"/>
      <w:lvlText w:val="%1."/>
      <w:lvlJc w:val="left"/>
      <w:pPr>
        <w:tabs>
          <w:tab w:val="num" w:pos="720"/>
        </w:tabs>
        <w:ind w:left="720" w:hanging="360"/>
      </w:pPr>
      <w:rPr>
        <w:rFonts w:cs="Times New Roman"/>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6C1F30F0"/>
    <w:multiLevelType w:val="hybridMultilevel"/>
    <w:tmpl w:val="665AE3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42E83"/>
    <w:rsid w:val="00050C4C"/>
    <w:rsid w:val="00086C18"/>
    <w:rsid w:val="000C3D00"/>
    <w:rsid w:val="000D5B49"/>
    <w:rsid w:val="000E623F"/>
    <w:rsid w:val="000F602B"/>
    <w:rsid w:val="00100055"/>
    <w:rsid w:val="00106236"/>
    <w:rsid w:val="00113142"/>
    <w:rsid w:val="001222FA"/>
    <w:rsid w:val="001454EC"/>
    <w:rsid w:val="001518CD"/>
    <w:rsid w:val="0015293B"/>
    <w:rsid w:val="001901CD"/>
    <w:rsid w:val="00193BEC"/>
    <w:rsid w:val="001C3794"/>
    <w:rsid w:val="001F7910"/>
    <w:rsid w:val="002262AD"/>
    <w:rsid w:val="0023146D"/>
    <w:rsid w:val="00283D60"/>
    <w:rsid w:val="00292FDD"/>
    <w:rsid w:val="002A5B97"/>
    <w:rsid w:val="002C4D93"/>
    <w:rsid w:val="002D3BA0"/>
    <w:rsid w:val="002D4550"/>
    <w:rsid w:val="002E1FBE"/>
    <w:rsid w:val="002E7C5A"/>
    <w:rsid w:val="002F39D9"/>
    <w:rsid w:val="003037B3"/>
    <w:rsid w:val="00307FB9"/>
    <w:rsid w:val="003472E6"/>
    <w:rsid w:val="00364DB0"/>
    <w:rsid w:val="00377906"/>
    <w:rsid w:val="003803FC"/>
    <w:rsid w:val="003808EA"/>
    <w:rsid w:val="00383BFF"/>
    <w:rsid w:val="003D3972"/>
    <w:rsid w:val="003D513D"/>
    <w:rsid w:val="003D79BA"/>
    <w:rsid w:val="00401801"/>
    <w:rsid w:val="004460E7"/>
    <w:rsid w:val="00453F9B"/>
    <w:rsid w:val="00465E14"/>
    <w:rsid w:val="00465FC0"/>
    <w:rsid w:val="004966DB"/>
    <w:rsid w:val="004C6DB9"/>
    <w:rsid w:val="004D5339"/>
    <w:rsid w:val="004F32A2"/>
    <w:rsid w:val="004F3D79"/>
    <w:rsid w:val="00513AAF"/>
    <w:rsid w:val="00553659"/>
    <w:rsid w:val="005849FB"/>
    <w:rsid w:val="005A0FD3"/>
    <w:rsid w:val="005E6455"/>
    <w:rsid w:val="005F24F2"/>
    <w:rsid w:val="005F2E08"/>
    <w:rsid w:val="00624FE1"/>
    <w:rsid w:val="00645AA9"/>
    <w:rsid w:val="00653DEB"/>
    <w:rsid w:val="00677AC1"/>
    <w:rsid w:val="006A1C29"/>
    <w:rsid w:val="006A5D15"/>
    <w:rsid w:val="006A607D"/>
    <w:rsid w:val="006B3C4A"/>
    <w:rsid w:val="006E3708"/>
    <w:rsid w:val="006F0F1C"/>
    <w:rsid w:val="006F4D8A"/>
    <w:rsid w:val="00724F45"/>
    <w:rsid w:val="00755DE7"/>
    <w:rsid w:val="00762F42"/>
    <w:rsid w:val="007A51F7"/>
    <w:rsid w:val="007A75D9"/>
    <w:rsid w:val="00803EFA"/>
    <w:rsid w:val="008064D6"/>
    <w:rsid w:val="00837828"/>
    <w:rsid w:val="00870A58"/>
    <w:rsid w:val="008A2FE0"/>
    <w:rsid w:val="008C1DEC"/>
    <w:rsid w:val="008E3025"/>
    <w:rsid w:val="008F658C"/>
    <w:rsid w:val="00902421"/>
    <w:rsid w:val="00961AE3"/>
    <w:rsid w:val="00965777"/>
    <w:rsid w:val="00983F21"/>
    <w:rsid w:val="0098419F"/>
    <w:rsid w:val="00992E63"/>
    <w:rsid w:val="009959BA"/>
    <w:rsid w:val="00996E6B"/>
    <w:rsid w:val="009B6165"/>
    <w:rsid w:val="009C6AEA"/>
    <w:rsid w:val="009C7FB3"/>
    <w:rsid w:val="009E6E78"/>
    <w:rsid w:val="00A55F9B"/>
    <w:rsid w:val="00A7625C"/>
    <w:rsid w:val="00A85F01"/>
    <w:rsid w:val="00A96C20"/>
    <w:rsid w:val="00AF6BF8"/>
    <w:rsid w:val="00B0210C"/>
    <w:rsid w:val="00B16929"/>
    <w:rsid w:val="00B40DCC"/>
    <w:rsid w:val="00B42745"/>
    <w:rsid w:val="00B51D81"/>
    <w:rsid w:val="00B6157A"/>
    <w:rsid w:val="00BB403A"/>
    <w:rsid w:val="00BD1A96"/>
    <w:rsid w:val="00BD75AB"/>
    <w:rsid w:val="00C01E24"/>
    <w:rsid w:val="00C17B6C"/>
    <w:rsid w:val="00C2359B"/>
    <w:rsid w:val="00C33B6C"/>
    <w:rsid w:val="00CE1051"/>
    <w:rsid w:val="00D14BF7"/>
    <w:rsid w:val="00D42B56"/>
    <w:rsid w:val="00D5444B"/>
    <w:rsid w:val="00D60EB7"/>
    <w:rsid w:val="00D61AB4"/>
    <w:rsid w:val="00D77728"/>
    <w:rsid w:val="00DA2454"/>
    <w:rsid w:val="00DB668B"/>
    <w:rsid w:val="00DC4610"/>
    <w:rsid w:val="00E20211"/>
    <w:rsid w:val="00E51D94"/>
    <w:rsid w:val="00E7564B"/>
    <w:rsid w:val="00E87731"/>
    <w:rsid w:val="00F2300B"/>
    <w:rsid w:val="00F30760"/>
    <w:rsid w:val="00F5219B"/>
    <w:rsid w:val="00F56791"/>
    <w:rsid w:val="00F618F8"/>
    <w:rsid w:val="00F637A7"/>
    <w:rsid w:val="00F87B20"/>
    <w:rsid w:val="00F975B3"/>
    <w:rsid w:val="00FC55E4"/>
    <w:rsid w:val="00FC5697"/>
    <w:rsid w:val="00FF0A5C"/>
    <w:rsid w:val="00FF3538"/>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D3FE6BA"/>
  <w15:docId w15:val="{AAC5DA31-C370-403C-90AD-FB93379A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Hyperlink">
    <w:name w:val="Hyperlink"/>
    <w:basedOn w:val="DefaultParagraphFont"/>
    <w:uiPriority w:val="99"/>
    <w:unhideWhenUsed/>
    <w:rsid w:val="00D77728"/>
    <w:rPr>
      <w:color w:val="0000FF"/>
      <w:u w:val="single"/>
    </w:rPr>
  </w:style>
  <w:style w:type="character" w:styleId="CommentReference">
    <w:name w:val="annotation reference"/>
    <w:basedOn w:val="DefaultParagraphFont"/>
    <w:uiPriority w:val="99"/>
    <w:semiHidden/>
    <w:unhideWhenUsed/>
    <w:rsid w:val="00FC5697"/>
    <w:rPr>
      <w:sz w:val="16"/>
      <w:szCs w:val="16"/>
    </w:rPr>
  </w:style>
  <w:style w:type="paragraph" w:styleId="CommentText">
    <w:name w:val="annotation text"/>
    <w:basedOn w:val="Normal"/>
    <w:link w:val="CommentTextChar"/>
    <w:uiPriority w:val="99"/>
    <w:semiHidden/>
    <w:unhideWhenUsed/>
    <w:rsid w:val="00FC5697"/>
    <w:pPr>
      <w:spacing w:line="240" w:lineRule="auto"/>
    </w:pPr>
    <w:rPr>
      <w:sz w:val="20"/>
      <w:szCs w:val="20"/>
    </w:rPr>
  </w:style>
  <w:style w:type="character" w:customStyle="1" w:styleId="CommentTextChar">
    <w:name w:val="Comment Text Char"/>
    <w:basedOn w:val="DefaultParagraphFont"/>
    <w:link w:val="CommentText"/>
    <w:uiPriority w:val="99"/>
    <w:semiHidden/>
    <w:rsid w:val="00FC5697"/>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FC5697"/>
    <w:rPr>
      <w:b/>
      <w:bCs/>
    </w:rPr>
  </w:style>
  <w:style w:type="character" w:customStyle="1" w:styleId="CommentSubjectChar">
    <w:name w:val="Comment Subject Char"/>
    <w:basedOn w:val="CommentTextChar"/>
    <w:link w:val="CommentSubject"/>
    <w:uiPriority w:val="99"/>
    <w:semiHidden/>
    <w:rsid w:val="00FC5697"/>
    <w:rPr>
      <w:b/>
      <w:bCs/>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nk.lv/banknotes-un-monetas/lata-naudas-zimes/naudas-viltoju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2545</Words>
  <Characters>1452</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dcterms:created xsi:type="dcterms:W3CDTF">2016-09-21T05:29:00Z</dcterms:created>
  <dcterms:modified xsi:type="dcterms:W3CDTF">2019-07-05T07:48:00Z</dcterms:modified>
</cp:coreProperties>
</file>