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66" w:rsidRPr="00966A4F" w:rsidRDefault="007F5366" w:rsidP="007F5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A4F">
        <w:rPr>
          <w:rFonts w:ascii="Times New Roman" w:eastAsia="Times New Roman" w:hAnsi="Times New Roman" w:cs="Times New Roman"/>
          <w:b/>
          <w:sz w:val="28"/>
          <w:szCs w:val="28"/>
        </w:rPr>
        <w:t>Valsts policijas koledža</w:t>
      </w:r>
    </w:p>
    <w:p w:rsidR="007F5366" w:rsidRPr="007F5366" w:rsidRDefault="007F5366" w:rsidP="007F5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366" w:rsidRPr="007F5366" w:rsidRDefault="007F5366" w:rsidP="007F53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7F5366" w:rsidRPr="007F5366" w:rsidRDefault="007F5366" w:rsidP="007F53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tbl>
      <w:tblPr>
        <w:tblW w:w="9924" w:type="dxa"/>
        <w:tblInd w:w="-303" w:type="dxa"/>
        <w:tblLayout w:type="fixed"/>
        <w:tblLook w:val="0000" w:firstRow="0" w:lastRow="0" w:firstColumn="0" w:lastColumn="0" w:noHBand="0" w:noVBand="0"/>
      </w:tblPr>
      <w:tblGrid>
        <w:gridCol w:w="424"/>
        <w:gridCol w:w="141"/>
        <w:gridCol w:w="851"/>
        <w:gridCol w:w="3263"/>
        <w:gridCol w:w="281"/>
        <w:gridCol w:w="1136"/>
        <w:gridCol w:w="426"/>
        <w:gridCol w:w="585"/>
        <w:gridCol w:w="431"/>
        <w:gridCol w:w="1110"/>
        <w:gridCol w:w="1276"/>
      </w:tblGrid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  <w:p w:rsidR="007F5366" w:rsidRPr="007F5366" w:rsidRDefault="00E07BF4" w:rsidP="00E07BF4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Valsts policijas o</w:t>
            </w:r>
            <w:r w:rsidR="007F5366" w:rsidRPr="007F53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peratīvās vadības struktūrvienību funkcijas pārrobežu policiju operācijās</w:t>
            </w:r>
          </w:p>
        </w:tc>
      </w:tr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mērķis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</w:p>
          <w:p w:rsidR="007F5366" w:rsidRPr="007F5366" w:rsidRDefault="007F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lv-LV"/>
              </w:rPr>
            </w:pPr>
            <w:r w:rsidRPr="007F53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pilnveidot zināšanas par pārrobežu policijas operācijām un </w:t>
            </w:r>
            <w:r w:rsidR="00E07BF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Valsts policijas o</w:t>
            </w:r>
            <w:r w:rsidRPr="007F536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peratīvās vadības struktūrvienību funkcijām pārrobežu operāciju laikā </w:t>
            </w:r>
          </w:p>
        </w:tc>
      </w:tr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mērķauditorija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Valsts policijas amatpersonas</w:t>
            </w: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Klausītāju skaits</w:t>
            </w: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līdz 20</w:t>
            </w: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akadēmiskās stundas</w:t>
            </w: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7F5366" w:rsidRPr="007F5366" w:rsidTr="00493D41">
        <w:trPr>
          <w:gridBefore w:val="1"/>
          <w:wBefore w:w="424" w:type="dxa"/>
          <w:trHeight w:val="321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Dr.iur. Ērika Krutova, Valsts policijas koledžas Policijas tiesību katedras docente</w:t>
            </w:r>
          </w:p>
          <w:p w:rsidR="007F5366" w:rsidRPr="007F5366" w:rsidRDefault="007F5366" w:rsidP="007F536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366" w:rsidRPr="007F5366" w:rsidTr="00493D41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izglītības dokuments, kas apliecina 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profesionālās izglītības programmas apguvi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apliecība</w:t>
            </w: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F5366" w:rsidRPr="007F5366" w:rsidTr="00493D41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Nosacījumi dokumenta, kas apliecina programmas apguvi, saņemšanai</w:t>
            </w: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klausītājs, piedaloties programmas apguvē vismaz 90% apmērā</w:t>
            </w:r>
            <w:r w:rsidR="00E07B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,</w:t>
            </w:r>
            <w:r w:rsidRPr="007F536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saņem apliecību</w:t>
            </w:r>
          </w:p>
          <w:p w:rsidR="007F5366" w:rsidRPr="007F5366" w:rsidRDefault="007F5366" w:rsidP="007F53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F5366" w:rsidRPr="007F5366" w:rsidTr="00493D41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366">
              <w:rPr>
                <w:rFonts w:ascii="Times New Roman" w:eastAsia="Times New Roman" w:hAnsi="Times New Roman" w:cs="Times New Roman"/>
                <w:sz w:val="28"/>
                <w:szCs w:val="28"/>
              </w:rPr>
              <w:t>Programmas izstrādes gads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2018</w:t>
            </w:r>
          </w:p>
        </w:tc>
      </w:tr>
      <w:tr w:rsidR="007F5366" w:rsidRPr="007F5366" w:rsidTr="00493D41">
        <w:trPr>
          <w:gridBefore w:val="1"/>
          <w:wBefore w:w="424" w:type="dxa"/>
        </w:trPr>
        <w:tc>
          <w:tcPr>
            <w:tcW w:w="4536" w:type="dxa"/>
            <w:gridSpan w:val="4"/>
          </w:tcPr>
          <w:p w:rsidR="007F5366" w:rsidRPr="00966A4F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66A4F" w:rsidRPr="00966A4F" w:rsidRDefault="00966A4F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66A4F" w:rsidRPr="00966A4F" w:rsidRDefault="00966A4F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66A4F" w:rsidRPr="00966A4F" w:rsidRDefault="00966A4F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66A4F" w:rsidRPr="00966A4F" w:rsidRDefault="00966A4F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66A4F" w:rsidRPr="00966A4F" w:rsidRDefault="00966A4F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</w:rPr>
              <w:t>Programmas plāns</w:t>
            </w:r>
          </w:p>
          <w:p w:rsidR="007F5366" w:rsidRPr="00966A4F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4" w:type="dxa"/>
            <w:gridSpan w:val="6"/>
          </w:tcPr>
          <w:p w:rsidR="007F5366" w:rsidRPr="007F5366" w:rsidRDefault="007F5366" w:rsidP="007F53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F5366" w:rsidRPr="007F5366" w:rsidRDefault="007F5366" w:rsidP="007F536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" w:type="dxa"/>
            <w:gridSpan w:val="2"/>
            <w:vMerge w:val="restart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Nr.p.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Tēmas nosaukums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Taksonomijas</w:t>
            </w:r>
          </w:p>
          <w:p w:rsidR="007F5366" w:rsidRPr="007F5366" w:rsidRDefault="007F5366" w:rsidP="007F5366">
            <w:pPr>
              <w:spacing w:after="0" w:line="240" w:lineRule="auto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līmenis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Akadēmisko stundu skaits</w:t>
            </w:r>
          </w:p>
        </w:tc>
        <w:tc>
          <w:tcPr>
            <w:tcW w:w="1110" w:type="dxa"/>
            <w:vMerge w:val="restart"/>
            <w:shd w:val="clear" w:color="auto" w:fill="auto"/>
            <w:textDirection w:val="btLr"/>
            <w:vAlign w:val="center"/>
          </w:tcPr>
          <w:p w:rsidR="007F5366" w:rsidRPr="007F5366" w:rsidRDefault="007F5366" w:rsidP="00F14E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Izmantoja-mās</w:t>
            </w:r>
          </w:p>
          <w:p w:rsidR="007F5366" w:rsidRPr="007F5366" w:rsidRDefault="007F5366" w:rsidP="00F14E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metodes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7F5366" w:rsidRPr="007F5366" w:rsidRDefault="00E07BF4" w:rsidP="00F14E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Pedagogs</w:t>
            </w: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02"/>
        </w:trPr>
        <w:tc>
          <w:tcPr>
            <w:tcW w:w="565" w:type="dxa"/>
            <w:gridSpan w:val="2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7F5366" w:rsidRPr="00493D41" w:rsidRDefault="007F5366" w:rsidP="007F53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3D41">
              <w:rPr>
                <w:rFonts w:ascii="Times New Roman" w:eastAsia="Times New Roman" w:hAnsi="Times New Roman" w:cs="Times New Roman"/>
                <w:sz w:val="20"/>
                <w:szCs w:val="24"/>
              </w:rPr>
              <w:t>Teorija</w:t>
            </w:r>
          </w:p>
        </w:tc>
        <w:tc>
          <w:tcPr>
            <w:tcW w:w="585" w:type="dxa"/>
            <w:shd w:val="clear" w:color="auto" w:fill="auto"/>
            <w:textDirection w:val="btLr"/>
            <w:vAlign w:val="center"/>
          </w:tcPr>
          <w:p w:rsidR="007F5366" w:rsidRPr="00493D41" w:rsidRDefault="007F5366" w:rsidP="007F53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3D41">
              <w:rPr>
                <w:rFonts w:ascii="Times New Roman" w:eastAsia="Times New Roman" w:hAnsi="Times New Roman" w:cs="Times New Roman"/>
                <w:sz w:val="20"/>
                <w:szCs w:val="24"/>
              </w:rPr>
              <w:t>Prakt. darbs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7F5366" w:rsidRPr="00493D41" w:rsidRDefault="007F5366" w:rsidP="007F53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93D41">
              <w:rPr>
                <w:rFonts w:ascii="Times New Roman" w:eastAsia="Times New Roman" w:hAnsi="Times New Roman" w:cs="Times New Roman"/>
                <w:sz w:val="20"/>
                <w:szCs w:val="24"/>
              </w:rPr>
              <w:t>Kopā</w:t>
            </w:r>
          </w:p>
        </w:tc>
        <w:tc>
          <w:tcPr>
            <w:tcW w:w="1110" w:type="dxa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66" w:rsidRPr="007F5366" w:rsidRDefault="00F14EC3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</w:t>
            </w:r>
            <w:r w:rsidR="007F5366"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  <w:shd w:val="clear" w:color="auto" w:fill="auto"/>
          </w:tcPr>
          <w:p w:rsidR="007F5366" w:rsidRPr="007F5366" w:rsidRDefault="007F5366" w:rsidP="001D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1.Pārrobežu operāciju raksturojums, Eiropas Savienības tiesību akti:</w:t>
            </w:r>
          </w:p>
          <w:p w:rsidR="007F5366" w:rsidRPr="007F5366" w:rsidRDefault="007F5366" w:rsidP="007F53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Calibri" w:hAnsi="Times New Roman" w:cs="Times New Roman"/>
                <w:sz w:val="24"/>
                <w:szCs w:val="24"/>
              </w:rPr>
              <w:t>1.1.Šengenas konvencija;</w:t>
            </w:r>
          </w:p>
          <w:p w:rsidR="007F5366" w:rsidRPr="007F5366" w:rsidRDefault="007F5366" w:rsidP="007F53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Calibri" w:hAnsi="Times New Roman" w:cs="Times New Roman"/>
                <w:sz w:val="24"/>
                <w:szCs w:val="24"/>
              </w:rPr>
              <w:t>1.2.Prīmes lēmumi;</w:t>
            </w:r>
          </w:p>
          <w:p w:rsidR="007F5366" w:rsidRPr="007F5366" w:rsidRDefault="007F5366" w:rsidP="007F53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Calibri" w:hAnsi="Times New Roman" w:cs="Times New Roman"/>
                <w:sz w:val="24"/>
                <w:szCs w:val="24"/>
              </w:rPr>
              <w:t>1.3.Atlas lēmums;</w:t>
            </w:r>
          </w:p>
          <w:p w:rsidR="007F5366" w:rsidRPr="007F5366" w:rsidRDefault="007F5366" w:rsidP="007F536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Calibri" w:hAnsi="Times New Roman" w:cs="Times New Roman"/>
                <w:sz w:val="24"/>
                <w:szCs w:val="24"/>
              </w:rPr>
              <w:t>1.4.divpusējas vienošanās.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</w:t>
            </w:r>
          </w:p>
        </w:tc>
        <w:tc>
          <w:tcPr>
            <w:tcW w:w="42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lekcija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Ē.Krutova</w:t>
            </w: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2"/>
        </w:trPr>
        <w:tc>
          <w:tcPr>
            <w:tcW w:w="565" w:type="dxa"/>
            <w:gridSpan w:val="2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14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30-</w:t>
            </w:r>
          </w:p>
          <w:p w:rsid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14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14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F14EC3" w:rsidRPr="007F5366" w:rsidRDefault="00F14EC3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13.30 – 14.15 </w:t>
            </w:r>
          </w:p>
        </w:tc>
        <w:tc>
          <w:tcPr>
            <w:tcW w:w="3263" w:type="dxa"/>
            <w:shd w:val="clear" w:color="auto" w:fill="auto"/>
          </w:tcPr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2.Parrobežu operāciju norise: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2.1.starptautiskās palīdzības pieprasījums;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2.2. pārrobežu operāciju koordinācija un informācijas apmaiņas kārtība, </w:t>
            </w:r>
            <w:r w:rsidR="00F14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Valsts policijas </w:t>
            </w: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iecirkņa/reģiona </w:t>
            </w:r>
            <w:r w:rsidR="001D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peratīvās vadības struktūrvienību (turpmāk OVS) rīcība;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 policijas pilnvaras: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2.3.1. pārrobežu vajāšanā;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2.3.2. pārrobežu novērošanā;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2.3.3.kopīgā patrulēšanā;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2.3.4.atbalsta sniegšana masu pasākumos, katastrofu un nelaimes gadījumos.</w:t>
            </w:r>
          </w:p>
          <w:p w:rsidR="007F5366" w:rsidRPr="007F5366" w:rsidRDefault="007F5366" w:rsidP="007F536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 un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pielietošana </w:t>
            </w:r>
          </w:p>
        </w:tc>
        <w:tc>
          <w:tcPr>
            <w:tcW w:w="42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lekcija un praktiskais uzdevums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Ē.Krutova</w:t>
            </w: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5" w:type="dxa"/>
            <w:gridSpan w:val="2"/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5366" w:rsidRPr="007F5366" w:rsidRDefault="007F5366" w:rsidP="00F1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4EC3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-16</w:t>
            </w:r>
            <w:r w:rsidR="00F14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Datu pārbaude Šengenas informācijas sistēmā (turpmāk SIS), amatpersonu rīcība</w:t>
            </w:r>
            <w:r w:rsidRPr="007F5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konstatējot pārbaudāmo objektu </w:t>
            </w:r>
            <w:r w:rsidRPr="007F5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 un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pielietošana</w:t>
            </w:r>
          </w:p>
        </w:tc>
        <w:tc>
          <w:tcPr>
            <w:tcW w:w="42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ind w:left="-216" w:righ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lekcija un praktiskais uzdevums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366" w:rsidRPr="007F5366" w:rsidRDefault="007F5366" w:rsidP="007F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sz w:val="24"/>
                <w:szCs w:val="24"/>
              </w:rPr>
              <w:t>Ē.Krutova</w:t>
            </w:r>
          </w:p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366" w:rsidRPr="007F5366" w:rsidTr="00493D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609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Kopā: 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53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66" w:rsidRPr="007F5366" w:rsidRDefault="007F5366" w:rsidP="007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366" w:rsidRPr="007F5366" w:rsidRDefault="007F5366" w:rsidP="007F53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86"/>
        <w:gridCol w:w="7088"/>
      </w:tblGrid>
      <w:tr w:rsidR="007F5366" w:rsidRPr="007F5366" w:rsidTr="00966A4F">
        <w:trPr>
          <w:trHeight w:val="10694"/>
        </w:trPr>
        <w:tc>
          <w:tcPr>
            <w:tcW w:w="2586" w:type="dxa"/>
          </w:tcPr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0" w:name="_GoBack" w:colFirst="1" w:colLast="1"/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Izmantojamās literatūras un avotu saraksts</w:t>
            </w: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7F5366" w:rsidRPr="00966A4F" w:rsidRDefault="007F5366" w:rsidP="00966A4F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8" w:type="dxa"/>
          </w:tcPr>
          <w:p w:rsidR="007F5366" w:rsidRPr="00966A4F" w:rsidRDefault="00431723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1990.gada 19.jūnija</w:t>
            </w:r>
            <w:r w:rsidR="007F5366"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Konvencija, ar kuru īsteno 1985.gada 14.jūnija Šengenas nolīgumu starp Beniluksa Ekonomikas savienības valstu valdībām, Vācijas Federatīvās Republikas valdību un Francijas Republikas valdību par pakāpenisku kontroles atcelšanu pie kopīgām robežām; 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Eiropas Savienības Padomes 2006.gada 18.decembra Pamatlēmums 2006/960/TI par Eiropas Savienības dalībvalstu tiesībaizsardzības iestāžu informācijas un izlūkdatu apmaiņas vienkāršošanu;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Eiropas Parlamenta un Padomes 2007. gada 12. jūnija Lēmums 2007/533/TI par otrās paaudzes Šengenas Informācijas sistēmas (SIS II) izveidi, darbību un izmantošanu;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Eiropas Savienības Padomes 2008.gada 23.jūnija Lēmums 2008/615/TI par pārrobežu sadarbības pastiprināšanu, jo īpaši apkarojot terorismu un pārrobežu noziedzību;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Eiropas Savienības Padomes 2008.gada Lēmums 2008/617/TI 23.jūnija par sadarbības uzlabošanu starp Eiropas Savienības dalībvalstu īpašajām intervences vienībām krīzes situācijās;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Latvijas Republikas valdības un Igaunijas Republikas valdības līgums par pārrobežu sadarbību noziedzības apkarošanā, 2006.gads;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Latvijas Republikas valdības un Lietuvas Republikas valdības līgums par sadarbību organizētās noziedzības un citu noziedzīgu nodarījumu apkarošanā un kopīgām darbībām pierobežas apgabalos, 2006.gads;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Lietuvas Republikas Policijas Departamenta un Latvijas Republikas Valsts policijas Līgums Nr.1664 par pārrobežu sadarbību starp Lietuvas Republikas Iekšlietu ministrijai pakļauto Policijas departamentu un Latvijas Republikas Valsts policiju;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Igaunijas Republikas policijas un robežsardzes un Latvijas Republikas Valsts policijas 2017.gada 8.septembra Līgums Nr.1518 par pārrobežu sadarbību starp Igaunijas policijas un robežsardzes pārvaldi un Latvijas Republikas Valsts policiju;</w:t>
            </w:r>
          </w:p>
          <w:p w:rsidR="007F5366" w:rsidRPr="00966A4F" w:rsidRDefault="00FB3B42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l</w:t>
            </w:r>
            <w:r w:rsidR="007F5366"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ikums “Par policiju”;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Valsts policijas 2009.gada 18.decembra iekšējie noteikumi Nr.27 „Valsts policijas operatīvās vadības struktūrvienību dienesta pienākumu organizācijas noteikumi” ar grozījumiem;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lastRenderedPageBreak/>
              <w:t>Valsts policijas 2010.gada 22.februāra iekšējie noteikumi Nr.5 „Dienesta pienākumu izpildes organizācija un kontrole sabiedriskās kārtības nodrošināšanas un satiksmes uzraudzības jomā” ar grozījumiem;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Valsts policijas 2017.gada 8.februāra reglaments Nr.11 “Galvenās kārtības policijas pārvaldes Koordinācijas un kontroles pārvaldes Operatīvās vadības biroja reglaments”;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Valsts policijas 2017.gada 7.aprīļa pavēle Nr.1681 “Par informācijas apriti saistībā ar aizturētajiem un ārkārtas situācijā nonākušajiem ārzemniekiem Latvijas teritorijā”;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Rokasgrāmata par pārrobežu operācijām. Doc.10505/4/09, REV 4 ADD 1 REV 2;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Latvijas-Lietuvas policijas pārrobežu sadarbības rokasgrāmata;</w:t>
            </w:r>
          </w:p>
          <w:p w:rsidR="007F5366" w:rsidRPr="00966A4F" w:rsidRDefault="007F5366" w:rsidP="00966A4F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714" w:hanging="5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r w:rsidRPr="00966A4F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>Rokasgrāmata par kopīgām policijas operācijām Igaunijā, Latvijā, Lietuvā, Polijā.</w:t>
            </w:r>
          </w:p>
          <w:p w:rsidR="007F5366" w:rsidRPr="00966A4F" w:rsidRDefault="007F5366" w:rsidP="00966A4F">
            <w:pPr>
              <w:tabs>
                <w:tab w:val="left" w:pos="360"/>
              </w:tabs>
              <w:spacing w:after="0" w:line="240" w:lineRule="auto"/>
              <w:ind w:left="720" w:hanging="53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highlight w:val="yellow"/>
                <w:lang w:eastAsia="lv-LV"/>
              </w:rPr>
            </w:pPr>
          </w:p>
          <w:p w:rsidR="007F5366" w:rsidRPr="00966A4F" w:rsidRDefault="007F5366" w:rsidP="00966A4F">
            <w:pPr>
              <w:spacing w:after="0" w:line="240" w:lineRule="auto"/>
              <w:ind w:hanging="53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bookmarkEnd w:id="0"/>
    </w:tbl>
    <w:p w:rsidR="00C43563" w:rsidRDefault="00C43563"/>
    <w:sectPr w:rsidR="00C43563" w:rsidSect="00331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C6" w:rsidRDefault="00D731C6">
      <w:pPr>
        <w:spacing w:after="0" w:line="240" w:lineRule="auto"/>
      </w:pPr>
      <w:r>
        <w:separator/>
      </w:r>
    </w:p>
  </w:endnote>
  <w:endnote w:type="continuationSeparator" w:id="0">
    <w:p w:rsidR="00D731C6" w:rsidRDefault="00D7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D73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D73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D7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C6" w:rsidRDefault="00D731C6">
      <w:pPr>
        <w:spacing w:after="0" w:line="240" w:lineRule="auto"/>
      </w:pPr>
      <w:r>
        <w:separator/>
      </w:r>
    </w:p>
  </w:footnote>
  <w:footnote w:type="continuationSeparator" w:id="0">
    <w:p w:rsidR="00D731C6" w:rsidRDefault="00D7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AD55B5" w:rsidP="00F10B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B20" w:rsidRDefault="00D73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Pr="002A61C0" w:rsidRDefault="00AD55B5" w:rsidP="00F10B20">
    <w:pPr>
      <w:pStyle w:val="Header"/>
      <w:framePr w:wrap="around" w:vAnchor="text" w:hAnchor="margin" w:xAlign="center" w:y="1"/>
      <w:rPr>
        <w:rStyle w:val="PageNumber"/>
        <w:szCs w:val="28"/>
      </w:rPr>
    </w:pPr>
    <w:r w:rsidRPr="002A61C0">
      <w:rPr>
        <w:rStyle w:val="PageNumber"/>
        <w:szCs w:val="28"/>
      </w:rPr>
      <w:fldChar w:fldCharType="begin"/>
    </w:r>
    <w:r w:rsidRPr="002A61C0">
      <w:rPr>
        <w:rStyle w:val="PageNumber"/>
        <w:szCs w:val="28"/>
      </w:rPr>
      <w:instrText xml:space="preserve">PAGE  </w:instrText>
    </w:r>
    <w:r w:rsidRPr="002A61C0">
      <w:rPr>
        <w:rStyle w:val="PageNumber"/>
        <w:szCs w:val="28"/>
      </w:rPr>
      <w:fldChar w:fldCharType="separate"/>
    </w:r>
    <w:r w:rsidR="00966A4F">
      <w:rPr>
        <w:rStyle w:val="PageNumber"/>
        <w:noProof/>
        <w:szCs w:val="28"/>
      </w:rPr>
      <w:t>2</w:t>
    </w:r>
    <w:r w:rsidRPr="002A61C0">
      <w:rPr>
        <w:rStyle w:val="PageNumber"/>
        <w:szCs w:val="28"/>
      </w:rPr>
      <w:fldChar w:fldCharType="end"/>
    </w:r>
  </w:p>
  <w:p w:rsidR="00F10B20" w:rsidRDefault="00D731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20" w:rsidRDefault="00D73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5EA1"/>
    <w:multiLevelType w:val="hybridMultilevel"/>
    <w:tmpl w:val="985200E8"/>
    <w:lvl w:ilvl="0" w:tplc="2B32824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6"/>
    <w:rsid w:val="001B643C"/>
    <w:rsid w:val="001D7A9F"/>
    <w:rsid w:val="00391B7D"/>
    <w:rsid w:val="00431723"/>
    <w:rsid w:val="00493D41"/>
    <w:rsid w:val="005958EC"/>
    <w:rsid w:val="00626ED4"/>
    <w:rsid w:val="00692FA0"/>
    <w:rsid w:val="006D1DD2"/>
    <w:rsid w:val="007F5366"/>
    <w:rsid w:val="00966A4F"/>
    <w:rsid w:val="00994D61"/>
    <w:rsid w:val="00AD55B5"/>
    <w:rsid w:val="00BA4559"/>
    <w:rsid w:val="00C43563"/>
    <w:rsid w:val="00D65E00"/>
    <w:rsid w:val="00D731C6"/>
    <w:rsid w:val="00E07BF4"/>
    <w:rsid w:val="00E84BA6"/>
    <w:rsid w:val="00F14EC3"/>
    <w:rsid w:val="00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CBA48"/>
  <w15:docId w15:val="{AC71228F-B089-4CDB-A45F-B257BEA9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366"/>
  </w:style>
  <w:style w:type="paragraph" w:styleId="Footer">
    <w:name w:val="footer"/>
    <w:basedOn w:val="Normal"/>
    <w:link w:val="FooterChar"/>
    <w:uiPriority w:val="99"/>
    <w:semiHidden/>
    <w:unhideWhenUsed/>
    <w:rsid w:val="007F5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366"/>
  </w:style>
  <w:style w:type="character" w:styleId="PageNumber">
    <w:name w:val="page number"/>
    <w:rsid w:val="007F5366"/>
  </w:style>
  <w:style w:type="paragraph" w:styleId="BalloonText">
    <w:name w:val="Balloon Text"/>
    <w:basedOn w:val="Normal"/>
    <w:link w:val="BalloonTextChar"/>
    <w:uiPriority w:val="99"/>
    <w:semiHidden/>
    <w:unhideWhenUsed/>
    <w:rsid w:val="0059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3070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Amanda Čerpinska</cp:lastModifiedBy>
  <cp:revision>3</cp:revision>
  <cp:lastPrinted>2018-01-23T06:34:00Z</cp:lastPrinted>
  <dcterms:created xsi:type="dcterms:W3CDTF">2018-02-20T07:20:00Z</dcterms:created>
  <dcterms:modified xsi:type="dcterms:W3CDTF">2019-07-05T07:45:00Z</dcterms:modified>
</cp:coreProperties>
</file>