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EB95D" w14:textId="77777777" w:rsidR="00870A58" w:rsidRPr="008758CA" w:rsidRDefault="00870A58" w:rsidP="00C2359B">
      <w:pPr>
        <w:spacing w:after="0" w:line="240" w:lineRule="auto"/>
        <w:jc w:val="center"/>
        <w:rPr>
          <w:rFonts w:ascii="Times New Roman" w:hAnsi="Times New Roman"/>
          <w:b/>
          <w:color w:val="000000"/>
          <w:sz w:val="28"/>
          <w:szCs w:val="28"/>
        </w:rPr>
      </w:pPr>
      <w:r w:rsidRPr="008758CA">
        <w:rPr>
          <w:rFonts w:ascii="Times New Roman" w:hAnsi="Times New Roman"/>
          <w:b/>
          <w:color w:val="000000"/>
          <w:sz w:val="28"/>
          <w:szCs w:val="28"/>
        </w:rPr>
        <w:t>Valsts policijas koledža</w:t>
      </w:r>
    </w:p>
    <w:p w14:paraId="463A0D89"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1CA6045A"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1D4312C6" w14:textId="77777777" w:rsidTr="00624FE1">
        <w:trPr>
          <w:trHeight w:val="321"/>
        </w:trPr>
        <w:tc>
          <w:tcPr>
            <w:tcW w:w="4568" w:type="dxa"/>
          </w:tcPr>
          <w:p w14:paraId="63CFE8F6"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566DF0E7" w14:textId="3D188166" w:rsidR="00F618F8" w:rsidRPr="00F618F8" w:rsidRDefault="00C46FAE" w:rsidP="00A97AF0">
            <w:pPr>
              <w:spacing w:after="0" w:line="240" w:lineRule="auto"/>
              <w:ind w:right="-6"/>
              <w:jc w:val="both"/>
              <w:rPr>
                <w:rFonts w:ascii="Times New Roman" w:eastAsia="Times New Roman" w:hAnsi="Times New Roman"/>
                <w:b/>
                <w:sz w:val="28"/>
                <w:szCs w:val="28"/>
              </w:rPr>
            </w:pPr>
            <w:r>
              <w:rPr>
                <w:rFonts w:ascii="Times New Roman" w:eastAsia="Times New Roman" w:hAnsi="Times New Roman"/>
                <w:b/>
                <w:sz w:val="28"/>
                <w:szCs w:val="28"/>
              </w:rPr>
              <w:t>Darbs ar cietušajiem (</w:t>
            </w:r>
            <w:r w:rsidR="00827287">
              <w:rPr>
                <w:rFonts w:ascii="Times New Roman" w:eastAsia="Times New Roman" w:hAnsi="Times New Roman"/>
                <w:b/>
                <w:sz w:val="28"/>
                <w:szCs w:val="28"/>
              </w:rPr>
              <w:t>otrais</w:t>
            </w:r>
            <w:r>
              <w:rPr>
                <w:rFonts w:ascii="Times New Roman" w:eastAsia="Times New Roman" w:hAnsi="Times New Roman"/>
                <w:b/>
                <w:sz w:val="28"/>
                <w:szCs w:val="28"/>
              </w:rPr>
              <w:t xml:space="preserve"> līmenis)</w:t>
            </w:r>
          </w:p>
          <w:p w14:paraId="52BFA5A8" w14:textId="77777777"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14:paraId="3DF82649" w14:textId="77777777" w:rsidTr="00624FE1">
        <w:tc>
          <w:tcPr>
            <w:tcW w:w="4568" w:type="dxa"/>
          </w:tcPr>
          <w:p w14:paraId="3133E942"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14:paraId="2F884CB7" w14:textId="77777777" w:rsidR="00870A58" w:rsidRPr="009E6E78" w:rsidRDefault="00870A58" w:rsidP="00624FE1">
            <w:pPr>
              <w:spacing w:after="0" w:line="240" w:lineRule="auto"/>
              <w:rPr>
                <w:rFonts w:ascii="Times New Roman" w:hAnsi="Times New Roman"/>
                <w:sz w:val="28"/>
                <w:szCs w:val="28"/>
              </w:rPr>
            </w:pPr>
          </w:p>
          <w:p w14:paraId="1AF3C3C0" w14:textId="77777777" w:rsidR="00870A58" w:rsidRPr="009E6E78" w:rsidRDefault="00870A58" w:rsidP="00624FE1">
            <w:pPr>
              <w:spacing w:after="0" w:line="240" w:lineRule="auto"/>
              <w:rPr>
                <w:rFonts w:ascii="Times New Roman" w:hAnsi="Times New Roman"/>
                <w:sz w:val="28"/>
                <w:szCs w:val="28"/>
              </w:rPr>
            </w:pPr>
          </w:p>
          <w:p w14:paraId="14A96A3B" w14:textId="77777777" w:rsidR="00870A58" w:rsidRPr="009E6E78" w:rsidRDefault="00870A58" w:rsidP="00624FE1">
            <w:pPr>
              <w:spacing w:after="0" w:line="240" w:lineRule="auto"/>
              <w:rPr>
                <w:rFonts w:ascii="Times New Roman" w:hAnsi="Times New Roman"/>
                <w:sz w:val="28"/>
                <w:szCs w:val="28"/>
              </w:rPr>
            </w:pPr>
          </w:p>
          <w:p w14:paraId="425D05DE" w14:textId="77777777" w:rsidR="00870A58" w:rsidRPr="009E6E78" w:rsidRDefault="00870A58" w:rsidP="00624FE1">
            <w:pPr>
              <w:spacing w:after="0" w:line="240" w:lineRule="auto"/>
              <w:rPr>
                <w:rFonts w:ascii="Times New Roman" w:hAnsi="Times New Roman"/>
                <w:sz w:val="28"/>
                <w:szCs w:val="28"/>
              </w:rPr>
            </w:pPr>
          </w:p>
          <w:p w14:paraId="636E4925" w14:textId="77777777" w:rsidR="00A160B3" w:rsidRDefault="00A160B3" w:rsidP="00624FE1">
            <w:pPr>
              <w:spacing w:after="0" w:line="240" w:lineRule="auto"/>
              <w:rPr>
                <w:rFonts w:ascii="Times New Roman" w:hAnsi="Times New Roman"/>
                <w:sz w:val="28"/>
                <w:szCs w:val="28"/>
              </w:rPr>
            </w:pPr>
          </w:p>
          <w:p w14:paraId="18F8EB2F" w14:textId="77777777" w:rsidR="00A160B3" w:rsidRDefault="00A160B3" w:rsidP="00624FE1">
            <w:pPr>
              <w:spacing w:after="0" w:line="240" w:lineRule="auto"/>
              <w:rPr>
                <w:rFonts w:ascii="Times New Roman" w:hAnsi="Times New Roman"/>
                <w:sz w:val="28"/>
                <w:szCs w:val="28"/>
              </w:rPr>
            </w:pPr>
          </w:p>
          <w:p w14:paraId="2BFA0EB6" w14:textId="77777777" w:rsidR="00141E27" w:rsidRDefault="00141E27" w:rsidP="00624FE1">
            <w:pPr>
              <w:spacing w:after="0" w:line="240" w:lineRule="auto"/>
              <w:rPr>
                <w:rFonts w:ascii="Times New Roman" w:hAnsi="Times New Roman"/>
                <w:sz w:val="28"/>
                <w:szCs w:val="28"/>
              </w:rPr>
            </w:pPr>
          </w:p>
          <w:p w14:paraId="05B6E47A"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14:paraId="5467D318" w14:textId="77777777" w:rsidR="00870A58" w:rsidRPr="009E6E78" w:rsidRDefault="00870A58" w:rsidP="00624FE1">
            <w:pPr>
              <w:spacing w:after="0" w:line="240" w:lineRule="auto"/>
              <w:rPr>
                <w:rFonts w:ascii="Times New Roman" w:hAnsi="Times New Roman"/>
                <w:sz w:val="28"/>
                <w:szCs w:val="28"/>
              </w:rPr>
            </w:pPr>
          </w:p>
          <w:p w14:paraId="2E1A1118" w14:textId="77777777" w:rsidR="00870A58" w:rsidRPr="009E6E78" w:rsidRDefault="00870A58" w:rsidP="00624FE1">
            <w:pPr>
              <w:spacing w:after="0" w:line="240" w:lineRule="auto"/>
              <w:rPr>
                <w:rFonts w:ascii="Times New Roman" w:hAnsi="Times New Roman"/>
                <w:sz w:val="28"/>
                <w:szCs w:val="28"/>
              </w:rPr>
            </w:pPr>
          </w:p>
          <w:p w14:paraId="390E833C" w14:textId="77777777" w:rsidR="00870A58" w:rsidRDefault="00870A58" w:rsidP="00624FE1">
            <w:pPr>
              <w:spacing w:after="0" w:line="240" w:lineRule="auto"/>
              <w:rPr>
                <w:rFonts w:ascii="Times New Roman" w:hAnsi="Times New Roman"/>
                <w:sz w:val="28"/>
                <w:szCs w:val="28"/>
              </w:rPr>
            </w:pPr>
          </w:p>
          <w:p w14:paraId="7CCD7381" w14:textId="77777777" w:rsidR="00870A58" w:rsidRPr="009E6E78" w:rsidRDefault="00870A58" w:rsidP="00624FE1">
            <w:pPr>
              <w:spacing w:after="0" w:line="240" w:lineRule="auto"/>
              <w:rPr>
                <w:rFonts w:ascii="Times New Roman" w:hAnsi="Times New Roman"/>
                <w:sz w:val="28"/>
                <w:szCs w:val="28"/>
              </w:rPr>
            </w:pPr>
          </w:p>
          <w:p w14:paraId="70D50C7A"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14:paraId="384CA4D3" w14:textId="77777777" w:rsidR="00870A58" w:rsidRPr="009E6E78" w:rsidRDefault="00870A58" w:rsidP="00624FE1">
            <w:pPr>
              <w:spacing w:after="0" w:line="240" w:lineRule="auto"/>
              <w:rPr>
                <w:rFonts w:ascii="Times New Roman" w:hAnsi="Times New Roman"/>
                <w:sz w:val="28"/>
                <w:szCs w:val="28"/>
              </w:rPr>
            </w:pPr>
          </w:p>
          <w:p w14:paraId="6F5BF9E8" w14:textId="77777777"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14:paraId="368F2F85" w14:textId="77777777" w:rsidR="00870A58" w:rsidRDefault="00870A58" w:rsidP="00624FE1">
            <w:pPr>
              <w:spacing w:after="0" w:line="240" w:lineRule="auto"/>
              <w:rPr>
                <w:rFonts w:ascii="Times New Roman" w:hAnsi="Times New Roman"/>
                <w:sz w:val="28"/>
                <w:szCs w:val="28"/>
              </w:rPr>
            </w:pPr>
          </w:p>
          <w:p w14:paraId="2E1ECD12"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6EADF784" w14:textId="4F48CF2E" w:rsidR="00870A58" w:rsidRPr="009316F4" w:rsidRDefault="009316F4" w:rsidP="00624FE1">
            <w:pPr>
              <w:spacing w:after="0" w:line="240" w:lineRule="auto"/>
              <w:jc w:val="both"/>
              <w:rPr>
                <w:rFonts w:ascii="Times New Roman" w:hAnsi="Times New Roman"/>
                <w:b/>
                <w:bCs/>
                <w:sz w:val="28"/>
                <w:szCs w:val="28"/>
              </w:rPr>
            </w:pPr>
            <w:r w:rsidRPr="009316F4">
              <w:rPr>
                <w:rFonts w:ascii="Times New Roman" w:hAnsi="Times New Roman"/>
                <w:b/>
                <w:bCs/>
                <w:sz w:val="28"/>
                <w:szCs w:val="28"/>
              </w:rPr>
              <w:t>Pilnveidot amatpersonu teorētiskās un praktiskās iemaņas darbā ar cietušajiem</w:t>
            </w:r>
            <w:r w:rsidR="00A97AF0">
              <w:rPr>
                <w:rFonts w:ascii="Times New Roman" w:hAnsi="Times New Roman"/>
                <w:b/>
                <w:bCs/>
                <w:sz w:val="28"/>
                <w:szCs w:val="28"/>
              </w:rPr>
              <w:t xml:space="preserve"> </w:t>
            </w:r>
            <w:r w:rsidR="00A97AF0" w:rsidRPr="00A97AF0">
              <w:rPr>
                <w:rFonts w:ascii="Times New Roman" w:hAnsi="Times New Roman"/>
                <w:b/>
                <w:bCs/>
                <w:sz w:val="28"/>
                <w:szCs w:val="28"/>
              </w:rPr>
              <w:t>(pēc noziedzīga nodarījuma objekta</w:t>
            </w:r>
            <w:r w:rsidR="00A97AF0">
              <w:rPr>
                <w:rFonts w:ascii="Times New Roman" w:hAnsi="Times New Roman"/>
                <w:b/>
                <w:bCs/>
                <w:sz w:val="28"/>
                <w:szCs w:val="28"/>
              </w:rPr>
              <w:t xml:space="preserve"> </w:t>
            </w:r>
            <w:r w:rsidR="00A97AF0" w:rsidRPr="00A97AF0">
              <w:rPr>
                <w:rFonts w:ascii="Times New Roman" w:hAnsi="Times New Roman"/>
                <w:b/>
                <w:bCs/>
                <w:sz w:val="28"/>
                <w:szCs w:val="28"/>
              </w:rPr>
              <w:t xml:space="preserve">- pret </w:t>
            </w:r>
            <w:r w:rsidR="00A160B3" w:rsidRPr="00A160B3">
              <w:rPr>
                <w:rFonts w:ascii="Times New Roman" w:hAnsi="Times New Roman"/>
                <w:b/>
                <w:bCs/>
                <w:sz w:val="28"/>
                <w:szCs w:val="28"/>
              </w:rPr>
              <w:t>veselību, tikumīb</w:t>
            </w:r>
            <w:r w:rsidR="00A97AF0">
              <w:rPr>
                <w:rFonts w:ascii="Times New Roman" w:hAnsi="Times New Roman"/>
                <w:b/>
                <w:bCs/>
                <w:sz w:val="28"/>
                <w:szCs w:val="28"/>
              </w:rPr>
              <w:t>u</w:t>
            </w:r>
            <w:r w:rsidR="00A160B3" w:rsidRPr="00A160B3">
              <w:rPr>
                <w:rFonts w:ascii="Times New Roman" w:hAnsi="Times New Roman"/>
                <w:b/>
                <w:bCs/>
                <w:sz w:val="28"/>
                <w:szCs w:val="28"/>
              </w:rPr>
              <w:t xml:space="preserve"> un dzimum</w:t>
            </w:r>
            <w:r w:rsidR="00A97AF0">
              <w:rPr>
                <w:rFonts w:ascii="Times New Roman" w:hAnsi="Times New Roman"/>
                <w:b/>
                <w:bCs/>
                <w:sz w:val="28"/>
                <w:szCs w:val="28"/>
              </w:rPr>
              <w:t>-</w:t>
            </w:r>
            <w:r w:rsidR="00A160B3" w:rsidRPr="00A160B3">
              <w:rPr>
                <w:rFonts w:ascii="Times New Roman" w:hAnsi="Times New Roman"/>
                <w:b/>
                <w:bCs/>
                <w:sz w:val="28"/>
                <w:szCs w:val="28"/>
              </w:rPr>
              <w:t>neaizskaramīb</w:t>
            </w:r>
            <w:r w:rsidR="00A97AF0">
              <w:rPr>
                <w:rFonts w:ascii="Times New Roman" w:hAnsi="Times New Roman"/>
                <w:b/>
                <w:bCs/>
                <w:sz w:val="28"/>
                <w:szCs w:val="28"/>
              </w:rPr>
              <w:t>u</w:t>
            </w:r>
            <w:r w:rsidR="00A160B3" w:rsidRPr="00A160B3">
              <w:rPr>
                <w:rFonts w:ascii="Times New Roman" w:hAnsi="Times New Roman"/>
                <w:b/>
                <w:bCs/>
                <w:sz w:val="28"/>
                <w:szCs w:val="28"/>
              </w:rPr>
              <w:t>)</w:t>
            </w:r>
            <w:r w:rsidRPr="009316F4">
              <w:rPr>
                <w:rFonts w:ascii="Times New Roman" w:hAnsi="Times New Roman"/>
                <w:b/>
                <w:bCs/>
                <w:sz w:val="28"/>
                <w:szCs w:val="28"/>
              </w:rPr>
              <w:t xml:space="preserve">, lai mazinātu sekundāro viktimizāciju </w:t>
            </w:r>
          </w:p>
          <w:p w14:paraId="22FD63D6" w14:textId="77777777" w:rsidR="009316F4" w:rsidRDefault="009316F4" w:rsidP="00624FE1">
            <w:pPr>
              <w:spacing w:after="0" w:line="240" w:lineRule="auto"/>
              <w:jc w:val="both"/>
              <w:rPr>
                <w:rFonts w:ascii="Times New Roman" w:hAnsi="Times New Roman"/>
                <w:b/>
                <w:bCs/>
                <w:color w:val="FF0000"/>
                <w:sz w:val="28"/>
                <w:szCs w:val="28"/>
              </w:rPr>
            </w:pPr>
          </w:p>
          <w:p w14:paraId="7C33260C" w14:textId="7BF7CAF7" w:rsidR="00C8784A" w:rsidRPr="009E6E78" w:rsidRDefault="00870A58" w:rsidP="00C8784A">
            <w:pPr>
              <w:spacing w:after="0" w:line="240" w:lineRule="auto"/>
              <w:jc w:val="both"/>
              <w:rPr>
                <w:rFonts w:ascii="Times New Roman" w:hAnsi="Times New Roman"/>
                <w:b/>
                <w:sz w:val="28"/>
                <w:szCs w:val="20"/>
              </w:rPr>
            </w:pPr>
            <w:r w:rsidRPr="009E6E78">
              <w:rPr>
                <w:rFonts w:ascii="Times New Roman" w:hAnsi="Times New Roman"/>
                <w:b/>
                <w:sz w:val="28"/>
                <w:szCs w:val="20"/>
              </w:rPr>
              <w:t>Valsts policijas amatpersonas</w:t>
            </w:r>
            <w:r w:rsidR="00C8784A">
              <w:rPr>
                <w:rFonts w:ascii="Times New Roman" w:hAnsi="Times New Roman"/>
                <w:b/>
                <w:sz w:val="28"/>
                <w:szCs w:val="20"/>
              </w:rPr>
              <w:t>,</w:t>
            </w:r>
            <w:r>
              <w:rPr>
                <w:rFonts w:ascii="Times New Roman" w:hAnsi="Times New Roman"/>
                <w:b/>
                <w:sz w:val="28"/>
                <w:szCs w:val="20"/>
              </w:rPr>
              <w:t xml:space="preserve"> </w:t>
            </w:r>
            <w:r w:rsidR="00C8784A">
              <w:rPr>
                <w:rFonts w:ascii="Times New Roman" w:hAnsi="Times New Roman"/>
                <w:b/>
                <w:sz w:val="28"/>
                <w:szCs w:val="20"/>
              </w:rPr>
              <w:t>kurām ir piešķirtas pilnvaras veikt kriminālprocesu</w:t>
            </w:r>
            <w:r w:rsidR="00C8784A" w:rsidRPr="009E6E78">
              <w:rPr>
                <w:rFonts w:ascii="Times New Roman" w:hAnsi="Times New Roman"/>
                <w:b/>
                <w:sz w:val="28"/>
                <w:szCs w:val="20"/>
              </w:rPr>
              <w:t xml:space="preserve"> (izmeklētāji)</w:t>
            </w:r>
            <w:r w:rsidR="00C8784A">
              <w:rPr>
                <w:rFonts w:ascii="Times New Roman" w:hAnsi="Times New Roman"/>
                <w:b/>
                <w:sz w:val="28"/>
                <w:szCs w:val="20"/>
              </w:rPr>
              <w:t>,</w:t>
            </w:r>
          </w:p>
          <w:p w14:paraId="0C9708DB" w14:textId="65074D5D" w:rsidR="00870A58" w:rsidRDefault="00870A58" w:rsidP="00C8784A">
            <w:pPr>
              <w:spacing w:after="0" w:line="240" w:lineRule="auto"/>
              <w:jc w:val="both"/>
              <w:rPr>
                <w:rFonts w:ascii="Times New Roman" w:hAnsi="Times New Roman"/>
                <w:b/>
                <w:sz w:val="28"/>
                <w:szCs w:val="20"/>
              </w:rPr>
            </w:pPr>
            <w:r w:rsidRPr="009E6E78">
              <w:rPr>
                <w:rFonts w:ascii="Times New Roman" w:hAnsi="Times New Roman"/>
                <w:b/>
                <w:sz w:val="28"/>
                <w:szCs w:val="20"/>
              </w:rPr>
              <w:t>ar speciālajām dienesta pakāpēm</w:t>
            </w:r>
            <w:r>
              <w:rPr>
                <w:rFonts w:ascii="Times New Roman" w:hAnsi="Times New Roman"/>
                <w:b/>
                <w:sz w:val="28"/>
                <w:szCs w:val="20"/>
              </w:rPr>
              <w:t xml:space="preserve"> </w:t>
            </w:r>
          </w:p>
          <w:p w14:paraId="6C326987" w14:textId="77777777" w:rsidR="00C8784A" w:rsidRDefault="00C8784A" w:rsidP="00C8784A">
            <w:pPr>
              <w:spacing w:after="0" w:line="240" w:lineRule="auto"/>
              <w:jc w:val="both"/>
              <w:rPr>
                <w:rFonts w:ascii="Times New Roman" w:hAnsi="Times New Roman"/>
                <w:b/>
                <w:bCs/>
                <w:iCs/>
                <w:sz w:val="28"/>
                <w:szCs w:val="28"/>
              </w:rPr>
            </w:pPr>
          </w:p>
          <w:p w14:paraId="193B8085" w14:textId="77777777"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14:paraId="1ABE2252" w14:textId="77777777" w:rsidR="00870A58" w:rsidRPr="009E6E78" w:rsidRDefault="00870A58" w:rsidP="00624FE1">
            <w:pPr>
              <w:spacing w:after="0" w:line="240" w:lineRule="auto"/>
              <w:jc w:val="both"/>
              <w:rPr>
                <w:rFonts w:ascii="Times New Roman" w:hAnsi="Times New Roman"/>
                <w:b/>
                <w:sz w:val="28"/>
                <w:szCs w:val="20"/>
              </w:rPr>
            </w:pPr>
          </w:p>
          <w:p w14:paraId="6571D97E" w14:textId="39193992" w:rsidR="00870A58" w:rsidRDefault="00536C7A" w:rsidP="00624FE1">
            <w:pPr>
              <w:spacing w:after="0" w:line="240" w:lineRule="auto"/>
              <w:jc w:val="both"/>
              <w:rPr>
                <w:rFonts w:ascii="Times New Roman" w:hAnsi="Times New Roman"/>
                <w:b/>
                <w:sz w:val="28"/>
                <w:szCs w:val="20"/>
              </w:rPr>
            </w:pPr>
            <w:r>
              <w:rPr>
                <w:rFonts w:ascii="Times New Roman" w:hAnsi="Times New Roman"/>
                <w:b/>
                <w:sz w:val="28"/>
                <w:szCs w:val="20"/>
              </w:rPr>
              <w:t>16</w:t>
            </w:r>
            <w:r w:rsidR="00870A58" w:rsidRPr="009E6E78">
              <w:rPr>
                <w:rFonts w:ascii="Times New Roman" w:hAnsi="Times New Roman"/>
                <w:b/>
                <w:sz w:val="28"/>
                <w:szCs w:val="20"/>
              </w:rPr>
              <w:t xml:space="preserve"> akadēmiskās stundas</w:t>
            </w:r>
          </w:p>
          <w:p w14:paraId="5BB1ADFC" w14:textId="77777777" w:rsidR="00870A58" w:rsidRDefault="00870A58" w:rsidP="00624FE1">
            <w:pPr>
              <w:spacing w:after="0" w:line="240" w:lineRule="auto"/>
              <w:jc w:val="both"/>
              <w:rPr>
                <w:rFonts w:ascii="Times New Roman" w:hAnsi="Times New Roman"/>
                <w:b/>
                <w:sz w:val="28"/>
                <w:szCs w:val="20"/>
              </w:rPr>
            </w:pPr>
          </w:p>
          <w:p w14:paraId="4A6C7603" w14:textId="45182CF1" w:rsidR="005F2E08" w:rsidRPr="009E6E78" w:rsidRDefault="005F2E08" w:rsidP="00C14A9A">
            <w:pPr>
              <w:spacing w:after="0" w:line="240" w:lineRule="auto"/>
              <w:jc w:val="both"/>
              <w:rPr>
                <w:rFonts w:ascii="Times New Roman" w:hAnsi="Times New Roman"/>
                <w:b/>
                <w:sz w:val="28"/>
                <w:szCs w:val="20"/>
              </w:rPr>
            </w:pPr>
            <w:r>
              <w:rPr>
                <w:rFonts w:ascii="Times New Roman" w:hAnsi="Times New Roman"/>
                <w:b/>
                <w:bCs/>
                <w:iCs/>
                <w:sz w:val="28"/>
                <w:szCs w:val="28"/>
              </w:rPr>
              <w:t xml:space="preserve">Mg.psych. Evita Lipe, </w:t>
            </w:r>
            <w:r w:rsidR="00FB57C8">
              <w:rPr>
                <w:rFonts w:ascii="Times New Roman" w:hAnsi="Times New Roman"/>
                <w:b/>
                <w:bCs/>
                <w:iCs/>
                <w:sz w:val="28"/>
                <w:szCs w:val="28"/>
              </w:rPr>
              <w:t xml:space="preserve">Valsts policijas koledžas </w:t>
            </w:r>
            <w:r>
              <w:rPr>
                <w:rFonts w:ascii="Times New Roman" w:hAnsi="Times New Roman"/>
                <w:b/>
                <w:bCs/>
                <w:iCs/>
                <w:sz w:val="28"/>
                <w:szCs w:val="28"/>
              </w:rPr>
              <w:t>Humanitārās katedras vadītāja</w:t>
            </w:r>
            <w:r w:rsidR="00FB57C8">
              <w:rPr>
                <w:rFonts w:ascii="Times New Roman" w:hAnsi="Times New Roman"/>
                <w:b/>
                <w:bCs/>
                <w:iCs/>
                <w:sz w:val="28"/>
                <w:szCs w:val="28"/>
              </w:rPr>
              <w:t>;</w:t>
            </w:r>
          </w:p>
        </w:tc>
      </w:tr>
      <w:tr w:rsidR="00870A58" w:rsidRPr="00C2359B" w14:paraId="05DC601E" w14:textId="77777777" w:rsidTr="00624FE1">
        <w:tc>
          <w:tcPr>
            <w:tcW w:w="4568" w:type="dxa"/>
          </w:tcPr>
          <w:p w14:paraId="73E18626" w14:textId="77777777" w:rsidR="00870A58" w:rsidRPr="009E6E78" w:rsidRDefault="00870A58" w:rsidP="00624FE1">
            <w:pPr>
              <w:spacing w:after="0" w:line="240" w:lineRule="auto"/>
              <w:rPr>
                <w:rFonts w:ascii="Times New Roman" w:hAnsi="Times New Roman"/>
                <w:sz w:val="28"/>
                <w:szCs w:val="28"/>
              </w:rPr>
            </w:pPr>
          </w:p>
          <w:p w14:paraId="6E2390CB" w14:textId="77777777" w:rsidR="00052CF4" w:rsidRDefault="00052CF4" w:rsidP="00624FE1">
            <w:pPr>
              <w:spacing w:after="0" w:line="240" w:lineRule="auto"/>
              <w:rPr>
                <w:rFonts w:ascii="Times New Roman" w:hAnsi="Times New Roman"/>
                <w:sz w:val="28"/>
                <w:szCs w:val="28"/>
              </w:rPr>
            </w:pPr>
          </w:p>
          <w:p w14:paraId="405BED6B" w14:textId="77777777" w:rsidR="00C14A9A" w:rsidRDefault="00C14A9A" w:rsidP="00624FE1">
            <w:pPr>
              <w:spacing w:after="0" w:line="240" w:lineRule="auto"/>
              <w:rPr>
                <w:rFonts w:ascii="Times New Roman" w:hAnsi="Times New Roman"/>
                <w:sz w:val="28"/>
                <w:szCs w:val="28"/>
              </w:rPr>
            </w:pPr>
          </w:p>
          <w:p w14:paraId="21AFFD23" w14:textId="77777777" w:rsidR="00C14A9A" w:rsidRDefault="00C14A9A" w:rsidP="00624FE1">
            <w:pPr>
              <w:spacing w:after="0" w:line="240" w:lineRule="auto"/>
              <w:rPr>
                <w:rFonts w:ascii="Times New Roman" w:hAnsi="Times New Roman"/>
                <w:sz w:val="28"/>
                <w:szCs w:val="28"/>
              </w:rPr>
            </w:pPr>
          </w:p>
          <w:p w14:paraId="2DE45285" w14:textId="15C4EC11" w:rsidR="00870A58" w:rsidRPr="009E6E78" w:rsidRDefault="00C14A9A" w:rsidP="00624FE1">
            <w:pPr>
              <w:spacing w:after="0" w:line="240" w:lineRule="auto"/>
              <w:rPr>
                <w:rFonts w:ascii="Times New Roman" w:hAnsi="Times New Roman"/>
                <w:sz w:val="28"/>
                <w:szCs w:val="28"/>
              </w:rPr>
            </w:pPr>
            <w:r>
              <w:rPr>
                <w:rFonts w:ascii="Times New Roman" w:hAnsi="Times New Roman"/>
                <w:sz w:val="28"/>
                <w:szCs w:val="28"/>
              </w:rPr>
              <w:t>I</w:t>
            </w:r>
            <w:r w:rsidR="00870A58" w:rsidRPr="009E6E78">
              <w:rPr>
                <w:rFonts w:ascii="Times New Roman" w:hAnsi="Times New Roman"/>
                <w:sz w:val="28"/>
                <w:szCs w:val="28"/>
              </w:rPr>
              <w:t xml:space="preserve">zglītības dokuments, kas apliecina </w:t>
            </w:r>
          </w:p>
          <w:p w14:paraId="2B3E95C1"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1B03D3FF" w14:textId="6EA16307" w:rsidR="00870A58" w:rsidRDefault="00A97AF0" w:rsidP="00624FE1">
            <w:pPr>
              <w:spacing w:after="0" w:line="240" w:lineRule="auto"/>
              <w:jc w:val="both"/>
              <w:rPr>
                <w:rFonts w:ascii="Times New Roman" w:hAnsi="Times New Roman"/>
                <w:b/>
                <w:bCs/>
                <w:sz w:val="28"/>
                <w:szCs w:val="28"/>
              </w:rPr>
            </w:pPr>
            <w:r w:rsidRPr="00A97AF0">
              <w:rPr>
                <w:rFonts w:ascii="Times New Roman" w:hAnsi="Times New Roman"/>
                <w:b/>
                <w:bCs/>
                <w:sz w:val="28"/>
                <w:szCs w:val="28"/>
              </w:rPr>
              <w:t xml:space="preserve">Mg.iur. </w:t>
            </w:r>
            <w:r w:rsidR="00FB57C8">
              <w:rPr>
                <w:rFonts w:ascii="Times New Roman" w:hAnsi="Times New Roman"/>
                <w:b/>
                <w:bCs/>
                <w:sz w:val="28"/>
                <w:szCs w:val="28"/>
              </w:rPr>
              <w:t>Baiba Hercmane</w:t>
            </w:r>
            <w:r w:rsidRPr="00A97AF0">
              <w:rPr>
                <w:rFonts w:ascii="Times New Roman" w:hAnsi="Times New Roman"/>
                <w:b/>
                <w:bCs/>
                <w:sz w:val="28"/>
                <w:szCs w:val="28"/>
              </w:rPr>
              <w:t xml:space="preserve">, </w:t>
            </w:r>
            <w:r w:rsidR="00FB57C8">
              <w:rPr>
                <w:rFonts w:ascii="Times New Roman" w:hAnsi="Times New Roman"/>
                <w:b/>
                <w:bCs/>
                <w:sz w:val="28"/>
                <w:szCs w:val="28"/>
              </w:rPr>
              <w:t xml:space="preserve">Valsts policijas koledžas </w:t>
            </w:r>
            <w:r w:rsidRPr="00A97AF0">
              <w:rPr>
                <w:rFonts w:ascii="Times New Roman" w:hAnsi="Times New Roman"/>
                <w:b/>
                <w:bCs/>
                <w:sz w:val="28"/>
                <w:szCs w:val="28"/>
              </w:rPr>
              <w:t>Tiesību zinātnes un projektu pārvaldība</w:t>
            </w:r>
            <w:r w:rsidR="00FB57C8">
              <w:rPr>
                <w:rFonts w:ascii="Times New Roman" w:hAnsi="Times New Roman"/>
                <w:b/>
                <w:bCs/>
                <w:sz w:val="28"/>
                <w:szCs w:val="28"/>
              </w:rPr>
              <w:t>s</w:t>
            </w:r>
            <w:r w:rsidRPr="00A97AF0">
              <w:rPr>
                <w:rFonts w:ascii="Times New Roman" w:hAnsi="Times New Roman"/>
                <w:b/>
                <w:bCs/>
                <w:sz w:val="28"/>
                <w:szCs w:val="28"/>
              </w:rPr>
              <w:t xml:space="preserve"> katedras </w:t>
            </w:r>
            <w:r w:rsidR="00FB57C8">
              <w:rPr>
                <w:rFonts w:ascii="Times New Roman" w:hAnsi="Times New Roman"/>
                <w:b/>
                <w:bCs/>
                <w:sz w:val="28"/>
                <w:szCs w:val="28"/>
              </w:rPr>
              <w:t>docente</w:t>
            </w:r>
          </w:p>
          <w:p w14:paraId="1677CF46" w14:textId="77777777" w:rsidR="00052CF4" w:rsidRPr="00C2359B" w:rsidRDefault="00052CF4" w:rsidP="00624FE1">
            <w:pPr>
              <w:spacing w:after="0" w:line="240" w:lineRule="auto"/>
              <w:jc w:val="both"/>
              <w:rPr>
                <w:rFonts w:ascii="Times New Roman" w:hAnsi="Times New Roman"/>
                <w:b/>
                <w:bCs/>
                <w:sz w:val="28"/>
                <w:szCs w:val="28"/>
              </w:rPr>
            </w:pPr>
          </w:p>
          <w:p w14:paraId="7CE8B107"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01993988" w14:textId="77777777" w:rsidTr="00624FE1">
        <w:tc>
          <w:tcPr>
            <w:tcW w:w="4568" w:type="dxa"/>
          </w:tcPr>
          <w:p w14:paraId="72601B10" w14:textId="77777777" w:rsidR="00870A58" w:rsidRPr="009E6E78" w:rsidRDefault="00870A58" w:rsidP="00624FE1">
            <w:pPr>
              <w:spacing w:after="0" w:line="240" w:lineRule="auto"/>
              <w:rPr>
                <w:rFonts w:ascii="Times New Roman" w:hAnsi="Times New Roman"/>
                <w:sz w:val="28"/>
                <w:szCs w:val="28"/>
              </w:rPr>
            </w:pPr>
          </w:p>
          <w:p w14:paraId="6BFB2F8B"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14:paraId="1E5BD5B8" w14:textId="77777777" w:rsidR="00870A58" w:rsidRPr="00C2359B" w:rsidRDefault="00870A58" w:rsidP="00624FE1">
            <w:pPr>
              <w:spacing w:after="0" w:line="240" w:lineRule="auto"/>
              <w:jc w:val="both"/>
              <w:rPr>
                <w:rFonts w:ascii="Times New Roman" w:hAnsi="Times New Roman"/>
                <w:b/>
                <w:bCs/>
                <w:sz w:val="28"/>
                <w:szCs w:val="28"/>
              </w:rPr>
            </w:pPr>
          </w:p>
          <w:p w14:paraId="4422AED0" w14:textId="77777777"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14:paraId="2B38C1DD" w14:textId="77777777" w:rsidTr="00624FE1">
        <w:tc>
          <w:tcPr>
            <w:tcW w:w="4568" w:type="dxa"/>
          </w:tcPr>
          <w:p w14:paraId="331326AC" w14:textId="77777777" w:rsidR="00141E27" w:rsidRDefault="00141E27" w:rsidP="00624FE1">
            <w:pPr>
              <w:spacing w:after="0" w:line="240" w:lineRule="auto"/>
              <w:rPr>
                <w:rFonts w:ascii="Times New Roman" w:hAnsi="Times New Roman"/>
                <w:sz w:val="28"/>
                <w:szCs w:val="28"/>
              </w:rPr>
            </w:pPr>
          </w:p>
          <w:p w14:paraId="47F7E47B"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00BF6410" w14:textId="77777777" w:rsidR="00141E27" w:rsidRDefault="00141E27" w:rsidP="00C46FAE">
            <w:pPr>
              <w:spacing w:after="0" w:line="240" w:lineRule="auto"/>
              <w:jc w:val="both"/>
              <w:rPr>
                <w:rFonts w:ascii="Times New Roman" w:hAnsi="Times New Roman"/>
                <w:b/>
                <w:bCs/>
                <w:sz w:val="28"/>
                <w:szCs w:val="28"/>
              </w:rPr>
            </w:pPr>
          </w:p>
          <w:p w14:paraId="39B9E2A6" w14:textId="77777777" w:rsidR="00870A58" w:rsidRPr="00C2359B" w:rsidRDefault="00870A58" w:rsidP="00C46FAE">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C46FAE">
              <w:rPr>
                <w:rFonts w:ascii="Times New Roman" w:hAnsi="Times New Roman"/>
                <w:b/>
                <w:bCs/>
                <w:sz w:val="28"/>
                <w:szCs w:val="28"/>
              </w:rPr>
              <w:t>7</w:t>
            </w:r>
          </w:p>
        </w:tc>
      </w:tr>
    </w:tbl>
    <w:p w14:paraId="5338091E" w14:textId="77777777" w:rsidR="008758CA" w:rsidRDefault="008758CA" w:rsidP="00553659">
      <w:pPr>
        <w:spacing w:after="0" w:line="240" w:lineRule="auto"/>
        <w:rPr>
          <w:rFonts w:ascii="Times New Roman" w:hAnsi="Times New Roman"/>
          <w:sz w:val="28"/>
          <w:szCs w:val="28"/>
        </w:rPr>
      </w:pPr>
    </w:p>
    <w:p w14:paraId="70BFA69B" w14:textId="77777777" w:rsidR="008758CA" w:rsidRDefault="008758CA" w:rsidP="00553659">
      <w:pPr>
        <w:spacing w:after="0" w:line="240" w:lineRule="auto"/>
        <w:rPr>
          <w:rFonts w:ascii="Times New Roman" w:hAnsi="Times New Roman"/>
          <w:sz w:val="28"/>
          <w:szCs w:val="28"/>
        </w:rPr>
      </w:pPr>
    </w:p>
    <w:p w14:paraId="327D42E9" w14:textId="77777777" w:rsidR="008758CA" w:rsidRDefault="008758CA" w:rsidP="00553659">
      <w:pPr>
        <w:spacing w:after="0" w:line="240" w:lineRule="auto"/>
        <w:rPr>
          <w:rFonts w:ascii="Times New Roman" w:hAnsi="Times New Roman"/>
          <w:sz w:val="28"/>
          <w:szCs w:val="28"/>
        </w:rPr>
      </w:pPr>
    </w:p>
    <w:p w14:paraId="6EE0CA00" w14:textId="77777777" w:rsidR="008758CA" w:rsidRDefault="008758CA" w:rsidP="00553659">
      <w:pPr>
        <w:spacing w:after="0" w:line="240" w:lineRule="auto"/>
        <w:rPr>
          <w:rFonts w:ascii="Times New Roman" w:hAnsi="Times New Roman"/>
          <w:sz w:val="28"/>
          <w:szCs w:val="28"/>
        </w:rPr>
      </w:pPr>
    </w:p>
    <w:p w14:paraId="14E4686F" w14:textId="77777777" w:rsidR="008758CA" w:rsidRDefault="008758CA" w:rsidP="00553659">
      <w:pPr>
        <w:spacing w:after="0" w:line="240" w:lineRule="auto"/>
        <w:rPr>
          <w:rFonts w:ascii="Times New Roman" w:hAnsi="Times New Roman"/>
          <w:sz w:val="28"/>
          <w:szCs w:val="28"/>
        </w:rPr>
      </w:pPr>
    </w:p>
    <w:p w14:paraId="3171C217" w14:textId="40B257F0"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14:paraId="742FAA2B"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577"/>
        <w:gridCol w:w="430"/>
        <w:gridCol w:w="1544"/>
        <w:gridCol w:w="1393"/>
        <w:gridCol w:w="46"/>
      </w:tblGrid>
      <w:tr w:rsidR="00870A58" w14:paraId="0409030D" w14:textId="77777777" w:rsidTr="00DD7A7E">
        <w:tc>
          <w:tcPr>
            <w:tcW w:w="534" w:type="dxa"/>
            <w:vMerge w:val="restart"/>
            <w:vAlign w:val="center"/>
          </w:tcPr>
          <w:p w14:paraId="63A02E34"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14:paraId="13196107"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14:paraId="4FABFEBE" w14:textId="77777777"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14:paraId="14589784"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14:paraId="25B96A49"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461" w:type="dxa"/>
            <w:gridSpan w:val="3"/>
            <w:vAlign w:val="center"/>
          </w:tcPr>
          <w:p w14:paraId="552F495C" w14:textId="77777777"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14:paraId="121E3C45"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14:paraId="2CFAE17C"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14:paraId="2FA9114A"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14:paraId="0D075088" w14:textId="77777777" w:rsidTr="00DD7A7E">
        <w:trPr>
          <w:cantSplit/>
          <w:trHeight w:val="818"/>
        </w:trPr>
        <w:tc>
          <w:tcPr>
            <w:tcW w:w="534" w:type="dxa"/>
            <w:vMerge/>
            <w:vAlign w:val="center"/>
          </w:tcPr>
          <w:p w14:paraId="68C6C1EB" w14:textId="77777777" w:rsidR="00870A58" w:rsidRDefault="00870A58">
            <w:pPr>
              <w:spacing w:after="0" w:line="240" w:lineRule="auto"/>
              <w:rPr>
                <w:rFonts w:ascii="Times New Roman" w:hAnsi="Times New Roman"/>
                <w:sz w:val="21"/>
                <w:szCs w:val="21"/>
              </w:rPr>
            </w:pPr>
          </w:p>
        </w:tc>
        <w:tc>
          <w:tcPr>
            <w:tcW w:w="850" w:type="dxa"/>
            <w:vMerge/>
            <w:vAlign w:val="center"/>
          </w:tcPr>
          <w:p w14:paraId="2C0A370E" w14:textId="77777777" w:rsidR="00870A58" w:rsidRDefault="00870A58">
            <w:pPr>
              <w:spacing w:after="0" w:line="240" w:lineRule="auto"/>
              <w:rPr>
                <w:rFonts w:ascii="Times New Roman" w:hAnsi="Times New Roman"/>
                <w:sz w:val="21"/>
                <w:szCs w:val="21"/>
              </w:rPr>
            </w:pPr>
          </w:p>
        </w:tc>
        <w:tc>
          <w:tcPr>
            <w:tcW w:w="2297" w:type="dxa"/>
            <w:gridSpan w:val="2"/>
            <w:vMerge/>
            <w:vAlign w:val="center"/>
          </w:tcPr>
          <w:p w14:paraId="1EEED008" w14:textId="77777777" w:rsidR="00870A58" w:rsidRDefault="00870A58" w:rsidP="00513AAF">
            <w:pPr>
              <w:spacing w:after="0" w:line="240" w:lineRule="auto"/>
              <w:rPr>
                <w:rFonts w:ascii="Times New Roman" w:hAnsi="Times New Roman"/>
                <w:sz w:val="21"/>
                <w:szCs w:val="21"/>
              </w:rPr>
            </w:pPr>
          </w:p>
        </w:tc>
        <w:tc>
          <w:tcPr>
            <w:tcW w:w="1389" w:type="dxa"/>
            <w:vMerge/>
            <w:vAlign w:val="center"/>
          </w:tcPr>
          <w:p w14:paraId="4AAF825F" w14:textId="77777777" w:rsidR="00870A58" w:rsidRDefault="00870A58">
            <w:pPr>
              <w:spacing w:after="0" w:line="240" w:lineRule="auto"/>
              <w:rPr>
                <w:rFonts w:ascii="Times New Roman" w:hAnsi="Times New Roman"/>
                <w:sz w:val="21"/>
                <w:szCs w:val="21"/>
              </w:rPr>
            </w:pPr>
          </w:p>
        </w:tc>
        <w:tc>
          <w:tcPr>
            <w:tcW w:w="454" w:type="dxa"/>
            <w:textDirection w:val="btLr"/>
            <w:vAlign w:val="center"/>
          </w:tcPr>
          <w:p w14:paraId="4A294A95"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14:paraId="2D1F0854"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430" w:type="dxa"/>
            <w:textDirection w:val="btLr"/>
            <w:vAlign w:val="center"/>
          </w:tcPr>
          <w:p w14:paraId="1A8F3BF6"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14:paraId="03FBFDC0" w14:textId="77777777" w:rsidR="00870A58" w:rsidRDefault="00870A58">
            <w:pPr>
              <w:spacing w:after="0" w:line="240" w:lineRule="auto"/>
              <w:rPr>
                <w:rFonts w:ascii="Times New Roman" w:hAnsi="Times New Roman"/>
                <w:sz w:val="21"/>
                <w:szCs w:val="21"/>
              </w:rPr>
            </w:pPr>
          </w:p>
        </w:tc>
        <w:tc>
          <w:tcPr>
            <w:tcW w:w="1439" w:type="dxa"/>
            <w:gridSpan w:val="2"/>
            <w:vMerge/>
            <w:vAlign w:val="center"/>
          </w:tcPr>
          <w:p w14:paraId="754256C2" w14:textId="77777777" w:rsidR="00870A58" w:rsidRDefault="00870A58">
            <w:pPr>
              <w:spacing w:after="0" w:line="240" w:lineRule="auto"/>
              <w:rPr>
                <w:rFonts w:ascii="Times New Roman" w:hAnsi="Times New Roman"/>
                <w:sz w:val="21"/>
                <w:szCs w:val="21"/>
              </w:rPr>
            </w:pPr>
          </w:p>
        </w:tc>
      </w:tr>
      <w:tr w:rsidR="00A97AF0" w:rsidRPr="002C4D93" w14:paraId="1685C0F5" w14:textId="77777777" w:rsidTr="002B3DB5">
        <w:trPr>
          <w:trHeight w:val="70"/>
        </w:trPr>
        <w:tc>
          <w:tcPr>
            <w:tcW w:w="9514" w:type="dxa"/>
            <w:gridSpan w:val="11"/>
            <w:vAlign w:val="center"/>
          </w:tcPr>
          <w:p w14:paraId="3FA0CA82" w14:textId="7CDF6B64" w:rsidR="00A97AF0" w:rsidRPr="006C1DE8" w:rsidRDefault="00A97AF0" w:rsidP="00C14A9A">
            <w:pPr>
              <w:spacing w:after="0" w:line="240" w:lineRule="auto"/>
              <w:jc w:val="center"/>
              <w:rPr>
                <w:rFonts w:ascii="Times New Roman" w:hAnsi="Times New Roman"/>
                <w:sz w:val="21"/>
                <w:szCs w:val="21"/>
              </w:rPr>
            </w:pPr>
            <w:r>
              <w:rPr>
                <w:rFonts w:ascii="Times New Roman" w:hAnsi="Times New Roman"/>
                <w:sz w:val="21"/>
                <w:szCs w:val="21"/>
              </w:rPr>
              <w:t>1.diena.</w:t>
            </w:r>
          </w:p>
        </w:tc>
      </w:tr>
      <w:tr w:rsidR="00A97AF0" w:rsidRPr="002C4D93" w14:paraId="2B0F5FB4" w14:textId="77777777" w:rsidTr="000E1A37">
        <w:trPr>
          <w:trHeight w:val="70"/>
        </w:trPr>
        <w:tc>
          <w:tcPr>
            <w:tcW w:w="534" w:type="dxa"/>
            <w:vAlign w:val="center"/>
          </w:tcPr>
          <w:p w14:paraId="36A0F66A" w14:textId="77777777" w:rsidR="00A97AF0" w:rsidRDefault="00A97AF0" w:rsidP="000E1A37">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850" w:type="dxa"/>
            <w:vAlign w:val="center"/>
          </w:tcPr>
          <w:p w14:paraId="581A22AA" w14:textId="012944E3" w:rsidR="00A97AF0" w:rsidRDefault="00A97AF0" w:rsidP="00C14A9A">
            <w:pPr>
              <w:spacing w:after="0" w:line="240" w:lineRule="auto"/>
              <w:jc w:val="center"/>
              <w:rPr>
                <w:rFonts w:ascii="Times New Roman" w:hAnsi="Times New Roman"/>
                <w:b/>
                <w:sz w:val="21"/>
                <w:szCs w:val="21"/>
              </w:rPr>
            </w:pPr>
            <w:r>
              <w:rPr>
                <w:rFonts w:ascii="Times New Roman" w:hAnsi="Times New Roman"/>
                <w:b/>
                <w:sz w:val="21"/>
                <w:szCs w:val="21"/>
              </w:rPr>
              <w:t>10</w:t>
            </w:r>
            <w:r w:rsidR="00C14A9A">
              <w:rPr>
                <w:rFonts w:ascii="Times New Roman" w:hAnsi="Times New Roman"/>
                <w:b/>
                <w:sz w:val="21"/>
                <w:szCs w:val="21"/>
              </w:rPr>
              <w:t>:</w:t>
            </w:r>
            <w:r>
              <w:rPr>
                <w:rFonts w:ascii="Times New Roman" w:hAnsi="Times New Roman"/>
                <w:b/>
                <w:sz w:val="21"/>
                <w:szCs w:val="21"/>
              </w:rPr>
              <w:t>00-</w:t>
            </w:r>
            <w:r w:rsidR="00FB57C8">
              <w:rPr>
                <w:rFonts w:ascii="Times New Roman" w:hAnsi="Times New Roman"/>
                <w:b/>
                <w:sz w:val="21"/>
                <w:szCs w:val="21"/>
              </w:rPr>
              <w:t>12</w:t>
            </w:r>
            <w:r w:rsidR="00C14A9A">
              <w:rPr>
                <w:rFonts w:ascii="Times New Roman" w:hAnsi="Times New Roman"/>
                <w:b/>
                <w:sz w:val="21"/>
                <w:szCs w:val="21"/>
              </w:rPr>
              <w:t>:</w:t>
            </w:r>
            <w:r w:rsidR="00FB57C8">
              <w:rPr>
                <w:rFonts w:ascii="Times New Roman" w:hAnsi="Times New Roman"/>
                <w:b/>
                <w:sz w:val="21"/>
                <w:szCs w:val="21"/>
              </w:rPr>
              <w:t>15</w:t>
            </w:r>
          </w:p>
        </w:tc>
        <w:tc>
          <w:tcPr>
            <w:tcW w:w="2297" w:type="dxa"/>
            <w:gridSpan w:val="2"/>
            <w:vAlign w:val="center"/>
          </w:tcPr>
          <w:p w14:paraId="7A581695" w14:textId="5A25C7F7" w:rsidR="00067F2D" w:rsidRPr="00DB5C94" w:rsidRDefault="00067F2D" w:rsidP="000E1A37">
            <w:pPr>
              <w:pStyle w:val="NoSpacing"/>
              <w:rPr>
                <w:rFonts w:ascii="Times New Roman" w:hAnsi="Times New Roman"/>
                <w:sz w:val="24"/>
                <w:szCs w:val="24"/>
              </w:rPr>
            </w:pPr>
            <w:r w:rsidRPr="00DB5C94">
              <w:rPr>
                <w:rFonts w:ascii="Times New Roman" w:hAnsi="Times New Roman"/>
                <w:sz w:val="24"/>
                <w:szCs w:val="24"/>
              </w:rPr>
              <w:t>Klausītāju zināšanu pārbaude</w:t>
            </w:r>
            <w:r w:rsidR="001B5EEA">
              <w:rPr>
                <w:rFonts w:ascii="Times New Roman" w:hAnsi="Times New Roman"/>
                <w:sz w:val="24"/>
                <w:szCs w:val="24"/>
              </w:rPr>
              <w:t>.</w:t>
            </w:r>
            <w:r w:rsidRPr="00DB5C94">
              <w:rPr>
                <w:rFonts w:ascii="Times New Roman" w:hAnsi="Times New Roman"/>
                <w:sz w:val="24"/>
                <w:szCs w:val="24"/>
              </w:rPr>
              <w:t xml:space="preserve"> </w:t>
            </w:r>
          </w:p>
          <w:p w14:paraId="7DB0ABA5" w14:textId="3C95CEA8" w:rsidR="00A97AF0" w:rsidRPr="00DB5C94" w:rsidRDefault="00A97AF0" w:rsidP="000E1A37">
            <w:pPr>
              <w:pStyle w:val="NoSpacing"/>
              <w:rPr>
                <w:rFonts w:ascii="Times New Roman" w:hAnsi="Times New Roman"/>
                <w:sz w:val="24"/>
                <w:szCs w:val="24"/>
              </w:rPr>
            </w:pPr>
            <w:r w:rsidRPr="00DB5C94">
              <w:rPr>
                <w:rFonts w:ascii="Times New Roman" w:hAnsi="Times New Roman"/>
                <w:sz w:val="24"/>
                <w:szCs w:val="24"/>
              </w:rPr>
              <w:t>1.1. Noziedzīgu nodarījumu klasifikācija</w:t>
            </w:r>
            <w:r w:rsidR="00067F2D" w:rsidRPr="00DB5C94">
              <w:rPr>
                <w:rFonts w:ascii="Times New Roman" w:hAnsi="Times New Roman"/>
                <w:sz w:val="24"/>
                <w:szCs w:val="24"/>
              </w:rPr>
              <w:t xml:space="preserve"> un noziedzīga nodarījuma pret personu krimināltiesiskais raksturojums</w:t>
            </w:r>
            <w:r w:rsidR="001B5EEA">
              <w:rPr>
                <w:rFonts w:ascii="Times New Roman" w:hAnsi="Times New Roman"/>
                <w:sz w:val="24"/>
                <w:szCs w:val="24"/>
              </w:rPr>
              <w:t>.</w:t>
            </w:r>
          </w:p>
          <w:p w14:paraId="7DB5DB9D" w14:textId="642FC339" w:rsidR="00A97AF0" w:rsidRPr="00DB5C94" w:rsidRDefault="00A97AF0" w:rsidP="000E1A37">
            <w:pPr>
              <w:pStyle w:val="NoSpacing"/>
              <w:rPr>
                <w:rFonts w:ascii="Times New Roman" w:hAnsi="Times New Roman"/>
                <w:sz w:val="24"/>
                <w:szCs w:val="24"/>
              </w:rPr>
            </w:pPr>
            <w:r w:rsidRPr="00DB5C94">
              <w:rPr>
                <w:rFonts w:ascii="Times New Roman" w:hAnsi="Times New Roman"/>
                <w:sz w:val="24"/>
                <w:szCs w:val="24"/>
              </w:rPr>
              <w:t>1.2. Cietušajam nodarītais kaitējums, tā apmēra noteikšana</w:t>
            </w:r>
          </w:p>
        </w:tc>
        <w:tc>
          <w:tcPr>
            <w:tcW w:w="1389" w:type="dxa"/>
            <w:vAlign w:val="center"/>
          </w:tcPr>
          <w:p w14:paraId="44B70DD8" w14:textId="77777777" w:rsidR="00A97AF0" w:rsidRPr="00DB5C94" w:rsidRDefault="00A97AF0" w:rsidP="000E1A37">
            <w:pPr>
              <w:spacing w:after="0" w:line="240" w:lineRule="auto"/>
              <w:ind w:left="-58"/>
              <w:jc w:val="center"/>
              <w:rPr>
                <w:rFonts w:ascii="Times New Roman" w:hAnsi="Times New Roman"/>
                <w:sz w:val="21"/>
                <w:szCs w:val="21"/>
              </w:rPr>
            </w:pPr>
            <w:r w:rsidRPr="00DB5C94">
              <w:rPr>
                <w:rFonts w:ascii="Times New Roman" w:hAnsi="Times New Roman"/>
                <w:sz w:val="21"/>
                <w:szCs w:val="21"/>
              </w:rPr>
              <w:t>izpratne</w:t>
            </w:r>
          </w:p>
        </w:tc>
        <w:tc>
          <w:tcPr>
            <w:tcW w:w="454" w:type="dxa"/>
            <w:vAlign w:val="center"/>
          </w:tcPr>
          <w:p w14:paraId="3D9B0264" w14:textId="5EA21E44" w:rsidR="00A97AF0" w:rsidRPr="00DB5C94" w:rsidRDefault="00067F2D" w:rsidP="000E1A37">
            <w:pPr>
              <w:spacing w:after="0" w:line="240" w:lineRule="auto"/>
              <w:jc w:val="center"/>
              <w:rPr>
                <w:rFonts w:ascii="Times New Roman" w:hAnsi="Times New Roman"/>
                <w:sz w:val="21"/>
                <w:szCs w:val="21"/>
              </w:rPr>
            </w:pPr>
            <w:r w:rsidRPr="00DB5C94">
              <w:rPr>
                <w:rFonts w:ascii="Times New Roman" w:hAnsi="Times New Roman"/>
                <w:sz w:val="21"/>
                <w:szCs w:val="21"/>
              </w:rPr>
              <w:t>3</w:t>
            </w:r>
          </w:p>
        </w:tc>
        <w:tc>
          <w:tcPr>
            <w:tcW w:w="577" w:type="dxa"/>
            <w:vAlign w:val="center"/>
          </w:tcPr>
          <w:p w14:paraId="7EB797E2" w14:textId="77777777" w:rsidR="00A97AF0" w:rsidRPr="00DB5C94" w:rsidRDefault="00A97AF0" w:rsidP="000E1A37">
            <w:pPr>
              <w:spacing w:after="0" w:line="240" w:lineRule="auto"/>
              <w:jc w:val="center"/>
              <w:rPr>
                <w:rFonts w:ascii="Times New Roman" w:hAnsi="Times New Roman"/>
                <w:sz w:val="21"/>
                <w:szCs w:val="21"/>
              </w:rPr>
            </w:pPr>
            <w:r w:rsidRPr="00DB5C94">
              <w:rPr>
                <w:rFonts w:ascii="Times New Roman" w:hAnsi="Times New Roman"/>
                <w:sz w:val="21"/>
                <w:szCs w:val="21"/>
              </w:rPr>
              <w:t>-</w:t>
            </w:r>
          </w:p>
        </w:tc>
        <w:tc>
          <w:tcPr>
            <w:tcW w:w="430" w:type="dxa"/>
            <w:vAlign w:val="center"/>
          </w:tcPr>
          <w:p w14:paraId="644AA5F8" w14:textId="4034B618" w:rsidR="00A97AF0" w:rsidRPr="00DB5C94" w:rsidRDefault="00067F2D" w:rsidP="000E1A37">
            <w:pPr>
              <w:spacing w:after="0" w:line="240" w:lineRule="auto"/>
              <w:jc w:val="center"/>
              <w:rPr>
                <w:rFonts w:ascii="Times New Roman" w:hAnsi="Times New Roman"/>
                <w:sz w:val="21"/>
                <w:szCs w:val="21"/>
              </w:rPr>
            </w:pPr>
            <w:r w:rsidRPr="00DB5C94">
              <w:rPr>
                <w:rFonts w:ascii="Times New Roman" w:hAnsi="Times New Roman"/>
                <w:sz w:val="21"/>
                <w:szCs w:val="21"/>
              </w:rPr>
              <w:t>3</w:t>
            </w:r>
          </w:p>
        </w:tc>
        <w:tc>
          <w:tcPr>
            <w:tcW w:w="1544" w:type="dxa"/>
            <w:vAlign w:val="center"/>
          </w:tcPr>
          <w:p w14:paraId="1ECE1873" w14:textId="77777777" w:rsidR="00A97AF0" w:rsidRDefault="00A97AF0" w:rsidP="000E1A37">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638CC932" w14:textId="0F665F27" w:rsidR="00A97AF0" w:rsidRDefault="00A97AF0" w:rsidP="000E1A37">
            <w:pPr>
              <w:spacing w:after="0" w:line="240" w:lineRule="auto"/>
              <w:rPr>
                <w:rFonts w:ascii="Times New Roman" w:hAnsi="Times New Roman"/>
                <w:sz w:val="21"/>
                <w:szCs w:val="21"/>
              </w:rPr>
            </w:pPr>
            <w:r w:rsidRPr="006C1DE8">
              <w:rPr>
                <w:rFonts w:ascii="Times New Roman" w:hAnsi="Times New Roman"/>
                <w:sz w:val="21"/>
                <w:szCs w:val="21"/>
              </w:rPr>
              <w:t>Tiesību zinātnes un projektu pārvaldība</w:t>
            </w:r>
            <w:r w:rsidR="00D36920">
              <w:rPr>
                <w:rFonts w:ascii="Times New Roman" w:hAnsi="Times New Roman"/>
                <w:sz w:val="21"/>
                <w:szCs w:val="21"/>
              </w:rPr>
              <w:t>s</w:t>
            </w:r>
            <w:r w:rsidRPr="006C1DE8">
              <w:rPr>
                <w:rFonts w:ascii="Times New Roman" w:hAnsi="Times New Roman"/>
                <w:sz w:val="21"/>
                <w:szCs w:val="21"/>
              </w:rPr>
              <w:t xml:space="preserve"> katedras pedagogs</w:t>
            </w:r>
          </w:p>
        </w:tc>
      </w:tr>
      <w:tr w:rsidR="00A97AF0" w:rsidRPr="002C4D93" w14:paraId="38240EEA" w14:textId="77777777" w:rsidTr="000E1A37">
        <w:trPr>
          <w:trHeight w:val="70"/>
        </w:trPr>
        <w:tc>
          <w:tcPr>
            <w:tcW w:w="534" w:type="dxa"/>
            <w:vAlign w:val="center"/>
          </w:tcPr>
          <w:p w14:paraId="07D73C62" w14:textId="77777777" w:rsidR="00A97AF0" w:rsidRDefault="00A97AF0" w:rsidP="000E1A37">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14:paraId="673433B9" w14:textId="05FDFD80" w:rsidR="00A97AF0" w:rsidRDefault="00FB57C8" w:rsidP="00C14A9A">
            <w:pPr>
              <w:spacing w:after="0" w:line="240" w:lineRule="auto"/>
              <w:jc w:val="center"/>
              <w:rPr>
                <w:rFonts w:ascii="Times New Roman" w:hAnsi="Times New Roman"/>
                <w:b/>
                <w:sz w:val="21"/>
                <w:szCs w:val="21"/>
              </w:rPr>
            </w:pPr>
            <w:r>
              <w:rPr>
                <w:rFonts w:ascii="Times New Roman" w:hAnsi="Times New Roman"/>
                <w:b/>
                <w:sz w:val="21"/>
                <w:szCs w:val="21"/>
              </w:rPr>
              <w:t>12</w:t>
            </w:r>
            <w:r w:rsidR="00C14A9A">
              <w:rPr>
                <w:rFonts w:ascii="Times New Roman" w:hAnsi="Times New Roman"/>
                <w:b/>
                <w:sz w:val="21"/>
                <w:szCs w:val="21"/>
              </w:rPr>
              <w:t>:</w:t>
            </w:r>
            <w:r>
              <w:rPr>
                <w:rFonts w:ascii="Times New Roman" w:hAnsi="Times New Roman"/>
                <w:b/>
                <w:sz w:val="21"/>
                <w:szCs w:val="21"/>
              </w:rPr>
              <w:t>45-15</w:t>
            </w:r>
            <w:r w:rsidR="00C14A9A">
              <w:rPr>
                <w:rFonts w:ascii="Times New Roman" w:hAnsi="Times New Roman"/>
                <w:b/>
                <w:sz w:val="21"/>
                <w:szCs w:val="21"/>
              </w:rPr>
              <w:t>:</w:t>
            </w:r>
            <w:r>
              <w:rPr>
                <w:rFonts w:ascii="Times New Roman" w:hAnsi="Times New Roman"/>
                <w:b/>
                <w:sz w:val="21"/>
                <w:szCs w:val="21"/>
              </w:rPr>
              <w:t>00</w:t>
            </w:r>
          </w:p>
        </w:tc>
        <w:tc>
          <w:tcPr>
            <w:tcW w:w="2297" w:type="dxa"/>
            <w:gridSpan w:val="2"/>
            <w:vAlign w:val="center"/>
          </w:tcPr>
          <w:p w14:paraId="58B11BEB" w14:textId="41BF16CE" w:rsidR="00A97AF0" w:rsidRDefault="00A97AF0" w:rsidP="000E1A37">
            <w:pPr>
              <w:pStyle w:val="NoSpacing"/>
              <w:rPr>
                <w:rFonts w:ascii="Times New Roman" w:hAnsi="Times New Roman"/>
                <w:sz w:val="24"/>
                <w:szCs w:val="24"/>
              </w:rPr>
            </w:pPr>
            <w:r>
              <w:rPr>
                <w:rFonts w:ascii="Times New Roman" w:hAnsi="Times New Roman"/>
                <w:sz w:val="24"/>
                <w:szCs w:val="24"/>
              </w:rPr>
              <w:t>Cietu</w:t>
            </w:r>
            <w:r w:rsidRPr="006C1DE8">
              <w:rPr>
                <w:rFonts w:ascii="Times New Roman" w:hAnsi="Times New Roman"/>
                <w:sz w:val="24"/>
                <w:szCs w:val="24"/>
              </w:rPr>
              <w:t>šā tiesību reglam</w:t>
            </w:r>
            <w:r>
              <w:rPr>
                <w:rFonts w:ascii="Times New Roman" w:hAnsi="Times New Roman"/>
                <w:sz w:val="24"/>
                <w:szCs w:val="24"/>
              </w:rPr>
              <w:t>entācija starptautisk</w:t>
            </w:r>
            <w:r w:rsidR="00D36920">
              <w:rPr>
                <w:rFonts w:ascii="Times New Roman" w:hAnsi="Times New Roman"/>
                <w:sz w:val="24"/>
                <w:szCs w:val="24"/>
              </w:rPr>
              <w:t>aj</w:t>
            </w:r>
            <w:r>
              <w:rPr>
                <w:rFonts w:ascii="Times New Roman" w:hAnsi="Times New Roman"/>
                <w:sz w:val="24"/>
                <w:szCs w:val="24"/>
              </w:rPr>
              <w:t>os un nacionāl</w:t>
            </w:r>
            <w:r w:rsidR="00D36920">
              <w:rPr>
                <w:rFonts w:ascii="Times New Roman" w:hAnsi="Times New Roman"/>
                <w:sz w:val="24"/>
                <w:szCs w:val="24"/>
              </w:rPr>
              <w:t>aj</w:t>
            </w:r>
            <w:r>
              <w:rPr>
                <w:rFonts w:ascii="Times New Roman" w:hAnsi="Times New Roman"/>
                <w:sz w:val="24"/>
                <w:szCs w:val="24"/>
              </w:rPr>
              <w:t>os tiesību aktos:</w:t>
            </w:r>
          </w:p>
          <w:p w14:paraId="1D88ECCD" w14:textId="08433379" w:rsidR="00A97AF0" w:rsidRDefault="00A97AF0" w:rsidP="000E1A37">
            <w:pPr>
              <w:pStyle w:val="NoSpacing"/>
              <w:rPr>
                <w:rFonts w:ascii="Times New Roman" w:hAnsi="Times New Roman"/>
                <w:sz w:val="24"/>
                <w:szCs w:val="24"/>
              </w:rPr>
            </w:pPr>
            <w:r>
              <w:rPr>
                <w:rFonts w:ascii="Times New Roman" w:hAnsi="Times New Roman"/>
                <w:sz w:val="24"/>
                <w:szCs w:val="24"/>
              </w:rPr>
              <w:t>2.1.</w:t>
            </w:r>
            <w:r w:rsidR="001B5EEA">
              <w:rPr>
                <w:rFonts w:ascii="Times New Roman" w:hAnsi="Times New Roman"/>
                <w:sz w:val="24"/>
                <w:szCs w:val="24"/>
              </w:rPr>
              <w:t>c</w:t>
            </w:r>
            <w:r>
              <w:rPr>
                <w:rFonts w:ascii="Times New Roman" w:hAnsi="Times New Roman"/>
                <w:sz w:val="24"/>
                <w:szCs w:val="24"/>
              </w:rPr>
              <w:t xml:space="preserve">ietušo tiesību nodrošināšana </w:t>
            </w:r>
            <w:r w:rsidR="00D36920">
              <w:rPr>
                <w:rFonts w:ascii="Times New Roman" w:hAnsi="Times New Roman"/>
                <w:sz w:val="24"/>
                <w:szCs w:val="24"/>
              </w:rPr>
              <w:t xml:space="preserve">saskaņā ar </w:t>
            </w:r>
            <w:r w:rsidRPr="005C36A1">
              <w:rPr>
                <w:rFonts w:ascii="Times New Roman" w:hAnsi="Times New Roman"/>
                <w:sz w:val="24"/>
                <w:szCs w:val="24"/>
              </w:rPr>
              <w:t xml:space="preserve">2012.gada 25.oktobra Eiropas Parlamenta un </w:t>
            </w:r>
            <w:r>
              <w:rPr>
                <w:rFonts w:ascii="Times New Roman" w:hAnsi="Times New Roman"/>
                <w:sz w:val="24"/>
                <w:szCs w:val="24"/>
              </w:rPr>
              <w:t>Padomes Direktīv</w:t>
            </w:r>
            <w:r w:rsidR="00D36920">
              <w:rPr>
                <w:rFonts w:ascii="Times New Roman" w:hAnsi="Times New Roman"/>
                <w:sz w:val="24"/>
                <w:szCs w:val="24"/>
              </w:rPr>
              <w:t>u</w:t>
            </w:r>
            <w:r>
              <w:rPr>
                <w:rFonts w:ascii="Times New Roman" w:hAnsi="Times New Roman"/>
                <w:sz w:val="24"/>
                <w:szCs w:val="24"/>
              </w:rPr>
              <w:t xml:space="preserve"> </w:t>
            </w:r>
            <w:r w:rsidRPr="005C36A1">
              <w:rPr>
                <w:rFonts w:ascii="Times New Roman" w:hAnsi="Times New Roman"/>
                <w:sz w:val="24"/>
                <w:szCs w:val="24"/>
              </w:rPr>
              <w:t>2012/29/ES</w:t>
            </w:r>
            <w:r>
              <w:rPr>
                <w:rFonts w:ascii="Times New Roman" w:hAnsi="Times New Roman"/>
                <w:sz w:val="24"/>
                <w:szCs w:val="24"/>
              </w:rPr>
              <w:t>;</w:t>
            </w:r>
          </w:p>
          <w:p w14:paraId="28F13390" w14:textId="13D0FF57" w:rsidR="00A97AF0" w:rsidRDefault="00A97AF0" w:rsidP="000E1A37">
            <w:pPr>
              <w:pStyle w:val="NoSpacing"/>
              <w:rPr>
                <w:rFonts w:ascii="Times New Roman" w:hAnsi="Times New Roman"/>
                <w:sz w:val="24"/>
                <w:szCs w:val="24"/>
              </w:rPr>
            </w:pPr>
            <w:r>
              <w:rPr>
                <w:rFonts w:ascii="Times New Roman" w:hAnsi="Times New Roman"/>
                <w:sz w:val="24"/>
                <w:szCs w:val="24"/>
              </w:rPr>
              <w:t xml:space="preserve">2.2. </w:t>
            </w:r>
            <w:r w:rsidR="001B5EEA">
              <w:rPr>
                <w:rFonts w:ascii="Times New Roman" w:hAnsi="Times New Roman"/>
                <w:sz w:val="24"/>
                <w:szCs w:val="24"/>
              </w:rPr>
              <w:t>c</w:t>
            </w:r>
            <w:r>
              <w:rPr>
                <w:rFonts w:ascii="Times New Roman" w:hAnsi="Times New Roman"/>
                <w:sz w:val="24"/>
                <w:szCs w:val="24"/>
              </w:rPr>
              <w:t xml:space="preserve">ietušo tiesību nodrošināšana </w:t>
            </w:r>
            <w:r w:rsidR="00D36920">
              <w:rPr>
                <w:rFonts w:ascii="Times New Roman" w:hAnsi="Times New Roman"/>
                <w:sz w:val="24"/>
                <w:szCs w:val="24"/>
              </w:rPr>
              <w:t xml:space="preserve">saskaņā ar </w:t>
            </w:r>
            <w:r>
              <w:rPr>
                <w:rFonts w:ascii="Times New Roman" w:hAnsi="Times New Roman"/>
                <w:sz w:val="24"/>
                <w:szCs w:val="24"/>
              </w:rPr>
              <w:t>Kriminālprocesa likum</w:t>
            </w:r>
            <w:r w:rsidR="00D36920">
              <w:rPr>
                <w:rFonts w:ascii="Times New Roman" w:hAnsi="Times New Roman"/>
                <w:sz w:val="24"/>
                <w:szCs w:val="24"/>
              </w:rPr>
              <w:t>u</w:t>
            </w:r>
            <w:r w:rsidR="001B5EEA">
              <w:rPr>
                <w:rFonts w:ascii="Times New Roman" w:hAnsi="Times New Roman"/>
                <w:sz w:val="24"/>
                <w:szCs w:val="24"/>
              </w:rPr>
              <w:t>.</w:t>
            </w:r>
          </w:p>
          <w:p w14:paraId="4853F2E7" w14:textId="176144C4" w:rsidR="00A97AF0" w:rsidRDefault="00A97AF0" w:rsidP="00A97AF0">
            <w:pPr>
              <w:pStyle w:val="NoSpacing"/>
              <w:rPr>
                <w:rFonts w:ascii="Times New Roman" w:hAnsi="Times New Roman"/>
                <w:sz w:val="24"/>
                <w:szCs w:val="24"/>
              </w:rPr>
            </w:pPr>
            <w:r>
              <w:rPr>
                <w:rFonts w:ascii="Times New Roman" w:hAnsi="Times New Roman"/>
                <w:sz w:val="24"/>
                <w:szCs w:val="24"/>
              </w:rPr>
              <w:t>2.3. Valsts kompensācija cietušajiem</w:t>
            </w:r>
          </w:p>
        </w:tc>
        <w:tc>
          <w:tcPr>
            <w:tcW w:w="1389" w:type="dxa"/>
            <w:vAlign w:val="center"/>
          </w:tcPr>
          <w:p w14:paraId="579A6EB8" w14:textId="77777777" w:rsidR="00A97AF0" w:rsidRDefault="00A97AF0" w:rsidP="000E1A37">
            <w:pPr>
              <w:spacing w:after="0" w:line="240" w:lineRule="auto"/>
              <w:ind w:left="-58"/>
              <w:jc w:val="center"/>
              <w:rPr>
                <w:rFonts w:ascii="Times New Roman" w:hAnsi="Times New Roman"/>
                <w:sz w:val="21"/>
                <w:szCs w:val="21"/>
              </w:rPr>
            </w:pPr>
            <w:r>
              <w:rPr>
                <w:rFonts w:ascii="Times New Roman" w:hAnsi="Times New Roman"/>
                <w:sz w:val="21"/>
                <w:szCs w:val="21"/>
              </w:rPr>
              <w:t>iz</w:t>
            </w:r>
            <w:r w:rsidRPr="00637BE9">
              <w:rPr>
                <w:rFonts w:ascii="Times New Roman" w:hAnsi="Times New Roman"/>
                <w:sz w:val="21"/>
                <w:szCs w:val="21"/>
              </w:rPr>
              <w:t>pratne un pielietojums</w:t>
            </w:r>
          </w:p>
        </w:tc>
        <w:tc>
          <w:tcPr>
            <w:tcW w:w="454" w:type="dxa"/>
            <w:vAlign w:val="center"/>
          </w:tcPr>
          <w:p w14:paraId="5A966AC6" w14:textId="77777777" w:rsidR="00A97AF0" w:rsidRDefault="00A97AF0" w:rsidP="000E1A37">
            <w:pPr>
              <w:spacing w:after="0" w:line="240" w:lineRule="auto"/>
              <w:jc w:val="center"/>
              <w:rPr>
                <w:rFonts w:ascii="Times New Roman" w:hAnsi="Times New Roman"/>
                <w:sz w:val="21"/>
                <w:szCs w:val="21"/>
              </w:rPr>
            </w:pPr>
            <w:r>
              <w:rPr>
                <w:rFonts w:ascii="Times New Roman" w:hAnsi="Times New Roman"/>
                <w:sz w:val="21"/>
                <w:szCs w:val="21"/>
              </w:rPr>
              <w:t>3</w:t>
            </w:r>
          </w:p>
        </w:tc>
        <w:tc>
          <w:tcPr>
            <w:tcW w:w="577" w:type="dxa"/>
            <w:vAlign w:val="center"/>
          </w:tcPr>
          <w:p w14:paraId="578B1747" w14:textId="77777777" w:rsidR="00A97AF0" w:rsidRDefault="00A97AF0" w:rsidP="000E1A37">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14:paraId="0E08E779" w14:textId="77777777" w:rsidR="00A97AF0" w:rsidRDefault="00A97AF0" w:rsidP="000E1A37">
            <w:pPr>
              <w:spacing w:after="0" w:line="240" w:lineRule="auto"/>
              <w:jc w:val="center"/>
              <w:rPr>
                <w:rFonts w:ascii="Times New Roman" w:hAnsi="Times New Roman"/>
                <w:sz w:val="21"/>
                <w:szCs w:val="21"/>
              </w:rPr>
            </w:pPr>
            <w:r>
              <w:rPr>
                <w:rFonts w:ascii="Times New Roman" w:hAnsi="Times New Roman"/>
                <w:sz w:val="21"/>
                <w:szCs w:val="21"/>
              </w:rPr>
              <w:t>3</w:t>
            </w:r>
          </w:p>
        </w:tc>
        <w:tc>
          <w:tcPr>
            <w:tcW w:w="1544" w:type="dxa"/>
            <w:vAlign w:val="center"/>
          </w:tcPr>
          <w:p w14:paraId="06A4B6EC" w14:textId="77777777" w:rsidR="00A97AF0" w:rsidRDefault="00A97AF0" w:rsidP="000E1A37">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780A246B" w14:textId="289DECA8" w:rsidR="00A97AF0" w:rsidRDefault="00A97AF0" w:rsidP="000E1A37">
            <w:pPr>
              <w:spacing w:after="0" w:line="240" w:lineRule="auto"/>
              <w:rPr>
                <w:rFonts w:ascii="Times New Roman" w:hAnsi="Times New Roman"/>
                <w:sz w:val="21"/>
                <w:szCs w:val="21"/>
              </w:rPr>
            </w:pPr>
            <w:r w:rsidRPr="006C1DE8">
              <w:rPr>
                <w:rFonts w:ascii="Times New Roman" w:hAnsi="Times New Roman"/>
                <w:sz w:val="21"/>
                <w:szCs w:val="21"/>
              </w:rPr>
              <w:t>Tiesību zinātnes un projektu pārvaldība</w:t>
            </w:r>
            <w:r w:rsidR="00D36920">
              <w:rPr>
                <w:rFonts w:ascii="Times New Roman" w:hAnsi="Times New Roman"/>
                <w:sz w:val="21"/>
                <w:szCs w:val="21"/>
              </w:rPr>
              <w:t>s</w:t>
            </w:r>
            <w:r w:rsidRPr="006C1DE8">
              <w:rPr>
                <w:rFonts w:ascii="Times New Roman" w:hAnsi="Times New Roman"/>
                <w:sz w:val="21"/>
                <w:szCs w:val="21"/>
              </w:rPr>
              <w:t xml:space="preserve"> katedras pedagogs</w:t>
            </w:r>
          </w:p>
        </w:tc>
      </w:tr>
      <w:tr w:rsidR="00A97AF0" w:rsidRPr="002C4D93" w14:paraId="5A34AF83" w14:textId="77777777" w:rsidTr="000E1A37">
        <w:trPr>
          <w:trHeight w:val="70"/>
        </w:trPr>
        <w:tc>
          <w:tcPr>
            <w:tcW w:w="534" w:type="dxa"/>
            <w:vAlign w:val="center"/>
          </w:tcPr>
          <w:p w14:paraId="5A5CEC04" w14:textId="77777777" w:rsidR="00A97AF0" w:rsidRDefault="00A97AF0" w:rsidP="000E1A37">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14:paraId="39D73A75" w14:textId="47556562" w:rsidR="00A97AF0" w:rsidRDefault="00FB57C8" w:rsidP="00C14A9A">
            <w:pPr>
              <w:spacing w:after="0" w:line="240" w:lineRule="auto"/>
              <w:jc w:val="center"/>
              <w:rPr>
                <w:rFonts w:ascii="Times New Roman" w:hAnsi="Times New Roman"/>
                <w:b/>
                <w:sz w:val="21"/>
                <w:szCs w:val="21"/>
              </w:rPr>
            </w:pPr>
            <w:r>
              <w:rPr>
                <w:rFonts w:ascii="Times New Roman" w:hAnsi="Times New Roman"/>
                <w:b/>
                <w:sz w:val="21"/>
                <w:szCs w:val="21"/>
              </w:rPr>
              <w:t>15</w:t>
            </w:r>
            <w:r w:rsidR="00C14A9A">
              <w:rPr>
                <w:rFonts w:ascii="Times New Roman" w:hAnsi="Times New Roman"/>
                <w:b/>
                <w:sz w:val="21"/>
                <w:szCs w:val="21"/>
              </w:rPr>
              <w:t>:</w:t>
            </w:r>
            <w:r>
              <w:rPr>
                <w:rFonts w:ascii="Times New Roman" w:hAnsi="Times New Roman"/>
                <w:b/>
                <w:sz w:val="21"/>
                <w:szCs w:val="21"/>
              </w:rPr>
              <w:t>00-16</w:t>
            </w:r>
            <w:r w:rsidR="00C14A9A">
              <w:rPr>
                <w:rFonts w:ascii="Times New Roman" w:hAnsi="Times New Roman"/>
                <w:b/>
                <w:sz w:val="21"/>
                <w:szCs w:val="21"/>
              </w:rPr>
              <w:t>:</w:t>
            </w:r>
            <w:r>
              <w:rPr>
                <w:rFonts w:ascii="Times New Roman" w:hAnsi="Times New Roman"/>
                <w:b/>
                <w:sz w:val="21"/>
                <w:szCs w:val="21"/>
              </w:rPr>
              <w:t>30</w:t>
            </w:r>
          </w:p>
        </w:tc>
        <w:tc>
          <w:tcPr>
            <w:tcW w:w="2297" w:type="dxa"/>
            <w:gridSpan w:val="2"/>
            <w:vAlign w:val="center"/>
          </w:tcPr>
          <w:p w14:paraId="10EA6EA7" w14:textId="3163E86F" w:rsidR="00A97AF0" w:rsidRPr="00DB5C94" w:rsidRDefault="00A97AF0" w:rsidP="000E1A37">
            <w:pPr>
              <w:pStyle w:val="NoSpacing"/>
              <w:rPr>
                <w:rFonts w:ascii="Times New Roman" w:hAnsi="Times New Roman"/>
                <w:sz w:val="24"/>
                <w:szCs w:val="24"/>
              </w:rPr>
            </w:pPr>
            <w:r w:rsidRPr="00DB5C94">
              <w:rPr>
                <w:rFonts w:ascii="Times New Roman" w:hAnsi="Times New Roman"/>
                <w:sz w:val="24"/>
                <w:szCs w:val="24"/>
              </w:rPr>
              <w:t>3.1.Īpaši aizsargājamais cietušais kriminālprocesā</w:t>
            </w:r>
            <w:r w:rsidR="001B5EEA">
              <w:rPr>
                <w:rFonts w:ascii="Times New Roman" w:hAnsi="Times New Roman"/>
                <w:sz w:val="24"/>
                <w:szCs w:val="24"/>
              </w:rPr>
              <w:t>.</w:t>
            </w:r>
          </w:p>
          <w:p w14:paraId="0CA3AF79" w14:textId="7796C92B" w:rsidR="00A97AF0" w:rsidRPr="00DB5C94" w:rsidRDefault="00A97AF0" w:rsidP="000E1A37">
            <w:pPr>
              <w:pStyle w:val="NoSpacing"/>
              <w:rPr>
                <w:rFonts w:ascii="Times New Roman" w:hAnsi="Times New Roman"/>
                <w:sz w:val="24"/>
                <w:szCs w:val="24"/>
              </w:rPr>
            </w:pPr>
            <w:r w:rsidRPr="00DB5C94">
              <w:rPr>
                <w:rFonts w:ascii="Times New Roman" w:hAnsi="Times New Roman"/>
                <w:sz w:val="24"/>
                <w:szCs w:val="24"/>
              </w:rPr>
              <w:t>3.2.Atzīšana par īpaši aizsargājamu cietušo</w:t>
            </w:r>
            <w:r w:rsidR="001B5EEA">
              <w:rPr>
                <w:rFonts w:ascii="Times New Roman" w:hAnsi="Times New Roman"/>
                <w:sz w:val="24"/>
                <w:szCs w:val="24"/>
              </w:rPr>
              <w:t>.</w:t>
            </w:r>
          </w:p>
          <w:p w14:paraId="7E8F6E46" w14:textId="51416223" w:rsidR="00A97AF0" w:rsidRPr="00DB5C94" w:rsidRDefault="00A97AF0" w:rsidP="00D36920">
            <w:pPr>
              <w:pStyle w:val="NoSpacing"/>
              <w:rPr>
                <w:rFonts w:ascii="Times New Roman" w:hAnsi="Times New Roman"/>
                <w:sz w:val="24"/>
                <w:szCs w:val="24"/>
              </w:rPr>
            </w:pPr>
            <w:r w:rsidRPr="00DB5C94">
              <w:rPr>
                <w:rFonts w:ascii="Times New Roman" w:hAnsi="Times New Roman"/>
                <w:sz w:val="24"/>
                <w:szCs w:val="24"/>
              </w:rPr>
              <w:t xml:space="preserve">3.3.Īpaši aizsargājama cietušā </w:t>
            </w:r>
            <w:r w:rsidRPr="00DB5C94">
              <w:rPr>
                <w:rFonts w:ascii="Times New Roman" w:hAnsi="Times New Roman"/>
                <w:sz w:val="24"/>
                <w:szCs w:val="24"/>
              </w:rPr>
              <w:lastRenderedPageBreak/>
              <w:t>tiesību nodrošināšana kriminālprocesā</w:t>
            </w:r>
            <w:r w:rsidR="001B5EEA">
              <w:rPr>
                <w:rFonts w:ascii="Times New Roman" w:hAnsi="Times New Roman"/>
                <w:sz w:val="24"/>
                <w:szCs w:val="24"/>
              </w:rPr>
              <w:t>.</w:t>
            </w:r>
          </w:p>
        </w:tc>
        <w:tc>
          <w:tcPr>
            <w:tcW w:w="1389" w:type="dxa"/>
            <w:vAlign w:val="center"/>
          </w:tcPr>
          <w:p w14:paraId="5F8671E8" w14:textId="77777777" w:rsidR="00A97AF0" w:rsidRPr="00DB5C94" w:rsidRDefault="00A97AF0" w:rsidP="000E1A37">
            <w:pPr>
              <w:spacing w:after="0" w:line="240" w:lineRule="auto"/>
              <w:ind w:left="-58"/>
              <w:jc w:val="center"/>
              <w:rPr>
                <w:rFonts w:ascii="Times New Roman" w:hAnsi="Times New Roman"/>
                <w:sz w:val="21"/>
                <w:szCs w:val="21"/>
              </w:rPr>
            </w:pPr>
            <w:r w:rsidRPr="00DB5C94">
              <w:rPr>
                <w:rFonts w:ascii="Times New Roman" w:hAnsi="Times New Roman"/>
                <w:sz w:val="21"/>
                <w:szCs w:val="21"/>
              </w:rPr>
              <w:lastRenderedPageBreak/>
              <w:t>izpratne un pielietojums</w:t>
            </w:r>
          </w:p>
        </w:tc>
        <w:tc>
          <w:tcPr>
            <w:tcW w:w="454" w:type="dxa"/>
            <w:vAlign w:val="center"/>
          </w:tcPr>
          <w:p w14:paraId="43CCC27F" w14:textId="00C8389B" w:rsidR="00A97AF0" w:rsidRPr="00DB5C94" w:rsidRDefault="00067F2D" w:rsidP="000E1A37">
            <w:pPr>
              <w:spacing w:after="0" w:line="240" w:lineRule="auto"/>
              <w:jc w:val="center"/>
              <w:rPr>
                <w:rFonts w:ascii="Times New Roman" w:hAnsi="Times New Roman"/>
                <w:sz w:val="21"/>
                <w:szCs w:val="21"/>
              </w:rPr>
            </w:pPr>
            <w:r w:rsidRPr="00DB5C94">
              <w:rPr>
                <w:rFonts w:ascii="Times New Roman" w:hAnsi="Times New Roman"/>
                <w:sz w:val="21"/>
                <w:szCs w:val="21"/>
              </w:rPr>
              <w:t>2</w:t>
            </w:r>
          </w:p>
        </w:tc>
        <w:tc>
          <w:tcPr>
            <w:tcW w:w="577" w:type="dxa"/>
            <w:vAlign w:val="center"/>
          </w:tcPr>
          <w:p w14:paraId="214E6D96" w14:textId="77777777" w:rsidR="00A97AF0" w:rsidRPr="00DB5C94" w:rsidRDefault="00A97AF0" w:rsidP="000E1A37">
            <w:pPr>
              <w:spacing w:after="0" w:line="240" w:lineRule="auto"/>
              <w:jc w:val="center"/>
              <w:rPr>
                <w:rFonts w:ascii="Times New Roman" w:hAnsi="Times New Roman"/>
                <w:sz w:val="21"/>
                <w:szCs w:val="21"/>
              </w:rPr>
            </w:pPr>
            <w:r w:rsidRPr="00DB5C94">
              <w:rPr>
                <w:rFonts w:ascii="Times New Roman" w:hAnsi="Times New Roman"/>
                <w:sz w:val="21"/>
                <w:szCs w:val="21"/>
              </w:rPr>
              <w:t>-</w:t>
            </w:r>
          </w:p>
        </w:tc>
        <w:tc>
          <w:tcPr>
            <w:tcW w:w="430" w:type="dxa"/>
            <w:vAlign w:val="center"/>
          </w:tcPr>
          <w:p w14:paraId="58CED919" w14:textId="022E8A7E" w:rsidR="00A97AF0" w:rsidRPr="00DB5C94" w:rsidRDefault="00067F2D" w:rsidP="000E1A37">
            <w:pPr>
              <w:spacing w:after="0" w:line="240" w:lineRule="auto"/>
              <w:jc w:val="center"/>
              <w:rPr>
                <w:rFonts w:ascii="Times New Roman" w:hAnsi="Times New Roman"/>
                <w:sz w:val="21"/>
                <w:szCs w:val="21"/>
              </w:rPr>
            </w:pPr>
            <w:r w:rsidRPr="00DB5C94">
              <w:rPr>
                <w:rFonts w:ascii="Times New Roman" w:hAnsi="Times New Roman"/>
                <w:sz w:val="21"/>
                <w:szCs w:val="21"/>
              </w:rPr>
              <w:t>2</w:t>
            </w:r>
          </w:p>
        </w:tc>
        <w:tc>
          <w:tcPr>
            <w:tcW w:w="1544" w:type="dxa"/>
            <w:vAlign w:val="center"/>
          </w:tcPr>
          <w:p w14:paraId="126B8A79" w14:textId="77777777" w:rsidR="00A97AF0" w:rsidRPr="00DB5C94" w:rsidRDefault="00A97AF0" w:rsidP="000E1A37">
            <w:pPr>
              <w:spacing w:after="0" w:line="240" w:lineRule="auto"/>
              <w:ind w:left="-108" w:right="-108"/>
              <w:jc w:val="center"/>
              <w:rPr>
                <w:rFonts w:ascii="Times New Roman" w:hAnsi="Times New Roman"/>
                <w:sz w:val="21"/>
                <w:szCs w:val="21"/>
              </w:rPr>
            </w:pPr>
            <w:r w:rsidRPr="00DB5C94">
              <w:rPr>
                <w:rFonts w:ascii="Times New Roman" w:hAnsi="Times New Roman"/>
                <w:sz w:val="21"/>
                <w:szCs w:val="21"/>
              </w:rPr>
              <w:t>lekcija</w:t>
            </w:r>
          </w:p>
        </w:tc>
        <w:tc>
          <w:tcPr>
            <w:tcW w:w="1439" w:type="dxa"/>
            <w:gridSpan w:val="2"/>
            <w:vAlign w:val="center"/>
          </w:tcPr>
          <w:p w14:paraId="42ABF722" w14:textId="2B873D69" w:rsidR="00A97AF0" w:rsidRDefault="00A97AF0" w:rsidP="000E1A37">
            <w:pPr>
              <w:spacing w:after="0" w:line="240" w:lineRule="auto"/>
              <w:rPr>
                <w:rFonts w:ascii="Times New Roman" w:hAnsi="Times New Roman"/>
                <w:sz w:val="21"/>
                <w:szCs w:val="21"/>
              </w:rPr>
            </w:pPr>
            <w:r w:rsidRPr="00637BE9">
              <w:rPr>
                <w:rFonts w:ascii="Times New Roman" w:hAnsi="Times New Roman"/>
                <w:sz w:val="21"/>
                <w:szCs w:val="21"/>
              </w:rPr>
              <w:t>Tiesību zinātnes un projektu pārvaldība</w:t>
            </w:r>
            <w:r w:rsidR="00D36920">
              <w:rPr>
                <w:rFonts w:ascii="Times New Roman" w:hAnsi="Times New Roman"/>
                <w:sz w:val="21"/>
                <w:szCs w:val="21"/>
              </w:rPr>
              <w:t>s</w:t>
            </w:r>
            <w:r w:rsidRPr="00637BE9">
              <w:rPr>
                <w:rFonts w:ascii="Times New Roman" w:hAnsi="Times New Roman"/>
                <w:sz w:val="21"/>
                <w:szCs w:val="21"/>
              </w:rPr>
              <w:t xml:space="preserve"> katedras pedagogs</w:t>
            </w:r>
          </w:p>
        </w:tc>
      </w:tr>
      <w:tr w:rsidR="00A97AF0" w:rsidRPr="002C4D93" w14:paraId="5DE66BC5" w14:textId="77777777" w:rsidTr="00072EBB">
        <w:trPr>
          <w:trHeight w:val="70"/>
        </w:trPr>
        <w:tc>
          <w:tcPr>
            <w:tcW w:w="9514" w:type="dxa"/>
            <w:gridSpan w:val="11"/>
            <w:vAlign w:val="center"/>
          </w:tcPr>
          <w:p w14:paraId="1323C26C" w14:textId="09B6D991" w:rsidR="00A97AF0" w:rsidRDefault="00A97AF0" w:rsidP="001B5EEA">
            <w:pPr>
              <w:spacing w:after="0" w:line="240" w:lineRule="auto"/>
              <w:jc w:val="center"/>
              <w:rPr>
                <w:rFonts w:ascii="Times New Roman" w:hAnsi="Times New Roman"/>
                <w:sz w:val="21"/>
                <w:szCs w:val="21"/>
              </w:rPr>
            </w:pPr>
            <w:r>
              <w:rPr>
                <w:rFonts w:ascii="Times New Roman" w:hAnsi="Times New Roman"/>
                <w:sz w:val="21"/>
                <w:szCs w:val="21"/>
              </w:rPr>
              <w:lastRenderedPageBreak/>
              <w:t>2.diena.</w:t>
            </w:r>
          </w:p>
        </w:tc>
      </w:tr>
      <w:tr w:rsidR="00870A58" w:rsidRPr="002C4D93" w14:paraId="44FDA6AB" w14:textId="77777777" w:rsidTr="00DD7A7E">
        <w:trPr>
          <w:trHeight w:val="70"/>
        </w:trPr>
        <w:tc>
          <w:tcPr>
            <w:tcW w:w="534" w:type="dxa"/>
            <w:vAlign w:val="center"/>
          </w:tcPr>
          <w:p w14:paraId="6CA93537" w14:textId="180D0816" w:rsidR="00870A58" w:rsidRDefault="00A97AF0" w:rsidP="00A97AF0">
            <w:pPr>
              <w:spacing w:after="0" w:line="240" w:lineRule="auto"/>
              <w:jc w:val="center"/>
              <w:rPr>
                <w:rFonts w:ascii="Times New Roman" w:hAnsi="Times New Roman"/>
                <w:sz w:val="20"/>
                <w:szCs w:val="20"/>
              </w:rPr>
            </w:pPr>
            <w:r>
              <w:rPr>
                <w:rFonts w:ascii="Times New Roman" w:hAnsi="Times New Roman"/>
                <w:sz w:val="20"/>
                <w:szCs w:val="20"/>
              </w:rPr>
              <w:t>4</w:t>
            </w:r>
            <w:r w:rsidR="00870A58">
              <w:rPr>
                <w:rFonts w:ascii="Times New Roman" w:hAnsi="Times New Roman"/>
                <w:sz w:val="20"/>
                <w:szCs w:val="20"/>
              </w:rPr>
              <w:t>.</w:t>
            </w:r>
          </w:p>
        </w:tc>
        <w:tc>
          <w:tcPr>
            <w:tcW w:w="850" w:type="dxa"/>
            <w:vAlign w:val="center"/>
          </w:tcPr>
          <w:p w14:paraId="326B6795" w14:textId="72F23424" w:rsidR="00870A58" w:rsidRDefault="00870A58" w:rsidP="00C14A9A">
            <w:pPr>
              <w:spacing w:after="0" w:line="240" w:lineRule="auto"/>
              <w:jc w:val="center"/>
              <w:rPr>
                <w:rFonts w:ascii="Times New Roman" w:hAnsi="Times New Roman"/>
                <w:b/>
                <w:sz w:val="21"/>
                <w:szCs w:val="21"/>
              </w:rPr>
            </w:pPr>
            <w:r>
              <w:rPr>
                <w:rFonts w:ascii="Times New Roman" w:hAnsi="Times New Roman"/>
                <w:b/>
                <w:sz w:val="21"/>
                <w:szCs w:val="21"/>
              </w:rPr>
              <w:t>10:</w:t>
            </w:r>
            <w:r w:rsidR="00DD7A7E">
              <w:rPr>
                <w:rFonts w:ascii="Times New Roman" w:hAnsi="Times New Roman"/>
                <w:b/>
                <w:sz w:val="21"/>
                <w:szCs w:val="21"/>
              </w:rPr>
              <w:t>00</w:t>
            </w:r>
            <w:r>
              <w:rPr>
                <w:rFonts w:ascii="Times New Roman" w:hAnsi="Times New Roman"/>
                <w:b/>
                <w:sz w:val="21"/>
                <w:szCs w:val="21"/>
              </w:rPr>
              <w:t>-1</w:t>
            </w:r>
            <w:r w:rsidR="00C14A9A">
              <w:rPr>
                <w:rFonts w:ascii="Times New Roman" w:hAnsi="Times New Roman"/>
                <w:b/>
                <w:sz w:val="21"/>
                <w:szCs w:val="21"/>
              </w:rPr>
              <w:t>0</w:t>
            </w:r>
            <w:r>
              <w:rPr>
                <w:rFonts w:ascii="Times New Roman" w:hAnsi="Times New Roman"/>
                <w:b/>
                <w:sz w:val="21"/>
                <w:szCs w:val="21"/>
              </w:rPr>
              <w:t>:</w:t>
            </w:r>
            <w:r w:rsidR="00C14A9A">
              <w:rPr>
                <w:rFonts w:ascii="Times New Roman" w:hAnsi="Times New Roman"/>
                <w:b/>
                <w:sz w:val="21"/>
                <w:szCs w:val="21"/>
              </w:rPr>
              <w:t>45</w:t>
            </w:r>
          </w:p>
        </w:tc>
        <w:tc>
          <w:tcPr>
            <w:tcW w:w="2297" w:type="dxa"/>
            <w:gridSpan w:val="2"/>
            <w:vAlign w:val="center"/>
          </w:tcPr>
          <w:p w14:paraId="5D71887B" w14:textId="1F6B8A59" w:rsidR="005F2E08" w:rsidRPr="00252B89" w:rsidRDefault="00C8784A" w:rsidP="00052CF4">
            <w:pPr>
              <w:pStyle w:val="NoSpacing"/>
              <w:rPr>
                <w:rFonts w:ascii="Times New Roman" w:hAnsi="Times New Roman"/>
                <w:sz w:val="24"/>
                <w:szCs w:val="24"/>
              </w:rPr>
            </w:pPr>
            <w:r>
              <w:rPr>
                <w:rFonts w:ascii="Times New Roman" w:hAnsi="Times New Roman"/>
                <w:sz w:val="24"/>
                <w:szCs w:val="24"/>
              </w:rPr>
              <w:t>Cietušo personu raksturojums</w:t>
            </w:r>
          </w:p>
        </w:tc>
        <w:tc>
          <w:tcPr>
            <w:tcW w:w="1389" w:type="dxa"/>
            <w:vAlign w:val="center"/>
          </w:tcPr>
          <w:p w14:paraId="678DD037" w14:textId="50C0B397" w:rsidR="00870A58" w:rsidRDefault="00A97AF0" w:rsidP="005E0F5E">
            <w:pPr>
              <w:spacing w:after="0" w:line="240" w:lineRule="auto"/>
              <w:ind w:left="-58"/>
              <w:jc w:val="center"/>
              <w:rPr>
                <w:rFonts w:ascii="Times New Roman" w:hAnsi="Times New Roman"/>
                <w:sz w:val="21"/>
                <w:szCs w:val="21"/>
              </w:rPr>
            </w:pPr>
            <w:r w:rsidRPr="00A97AF0">
              <w:rPr>
                <w:rFonts w:ascii="Times New Roman" w:hAnsi="Times New Roman"/>
                <w:sz w:val="21"/>
                <w:szCs w:val="21"/>
              </w:rPr>
              <w:t>izpratne un pielietojums</w:t>
            </w:r>
          </w:p>
        </w:tc>
        <w:tc>
          <w:tcPr>
            <w:tcW w:w="454" w:type="dxa"/>
            <w:vAlign w:val="center"/>
          </w:tcPr>
          <w:p w14:paraId="4679BFA6" w14:textId="0DEA5A67" w:rsidR="00870A58" w:rsidRDefault="00052CF4" w:rsidP="00052CF4">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14:paraId="47BA0BD6"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14:paraId="4764E3FD" w14:textId="3725BB0A" w:rsidR="00870A58" w:rsidRDefault="00052CF4" w:rsidP="00052CF4">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14:paraId="048B332F"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6B37567B" w14:textId="2CA92F16" w:rsidR="005F2E08" w:rsidRDefault="00C14A9A">
            <w:pPr>
              <w:spacing w:after="0" w:line="240" w:lineRule="auto"/>
              <w:rPr>
                <w:rFonts w:ascii="Times New Roman" w:hAnsi="Times New Roman"/>
                <w:sz w:val="21"/>
                <w:szCs w:val="21"/>
              </w:rPr>
            </w:pPr>
            <w:r>
              <w:rPr>
                <w:rFonts w:ascii="Times New Roman" w:hAnsi="Times New Roman"/>
                <w:sz w:val="21"/>
                <w:szCs w:val="21"/>
              </w:rPr>
              <w:t xml:space="preserve">Humanitārās </w:t>
            </w:r>
            <w:r w:rsidRPr="00C14A9A">
              <w:rPr>
                <w:rFonts w:ascii="Times New Roman" w:hAnsi="Times New Roman"/>
                <w:sz w:val="21"/>
                <w:szCs w:val="21"/>
              </w:rPr>
              <w:t>katedras pedagogs</w:t>
            </w:r>
          </w:p>
        </w:tc>
      </w:tr>
      <w:tr w:rsidR="00870A58" w14:paraId="6D67D47E" w14:textId="77777777" w:rsidTr="00DD7A7E">
        <w:trPr>
          <w:trHeight w:val="70"/>
        </w:trPr>
        <w:tc>
          <w:tcPr>
            <w:tcW w:w="534" w:type="dxa"/>
            <w:vAlign w:val="center"/>
          </w:tcPr>
          <w:p w14:paraId="51EFBCDF" w14:textId="48F17802" w:rsidR="00870A58" w:rsidRDefault="00A97AF0">
            <w:pPr>
              <w:spacing w:after="0" w:line="240" w:lineRule="auto"/>
              <w:jc w:val="center"/>
              <w:rPr>
                <w:rFonts w:ascii="Times New Roman" w:hAnsi="Times New Roman"/>
                <w:sz w:val="20"/>
                <w:szCs w:val="20"/>
              </w:rPr>
            </w:pPr>
            <w:r>
              <w:rPr>
                <w:rFonts w:ascii="Times New Roman" w:hAnsi="Times New Roman"/>
                <w:sz w:val="20"/>
                <w:szCs w:val="20"/>
              </w:rPr>
              <w:t>5</w:t>
            </w:r>
            <w:r w:rsidR="00870A58">
              <w:rPr>
                <w:rFonts w:ascii="Times New Roman" w:hAnsi="Times New Roman"/>
                <w:sz w:val="20"/>
                <w:szCs w:val="20"/>
              </w:rPr>
              <w:t>.</w:t>
            </w:r>
          </w:p>
        </w:tc>
        <w:tc>
          <w:tcPr>
            <w:tcW w:w="850" w:type="dxa"/>
            <w:vAlign w:val="center"/>
          </w:tcPr>
          <w:p w14:paraId="752D8D2D" w14:textId="094D35BB" w:rsidR="00870A58" w:rsidRDefault="00870A58" w:rsidP="00C14A9A">
            <w:pPr>
              <w:spacing w:after="0" w:line="240" w:lineRule="auto"/>
              <w:jc w:val="center"/>
              <w:rPr>
                <w:rFonts w:ascii="Times New Roman" w:hAnsi="Times New Roman"/>
                <w:b/>
                <w:sz w:val="21"/>
                <w:szCs w:val="21"/>
              </w:rPr>
            </w:pPr>
            <w:r>
              <w:rPr>
                <w:rFonts w:ascii="Times New Roman" w:hAnsi="Times New Roman"/>
                <w:b/>
                <w:sz w:val="21"/>
                <w:szCs w:val="21"/>
              </w:rPr>
              <w:t>1</w:t>
            </w:r>
            <w:r w:rsidR="00C14A9A">
              <w:rPr>
                <w:rFonts w:ascii="Times New Roman" w:hAnsi="Times New Roman"/>
                <w:b/>
                <w:sz w:val="21"/>
                <w:szCs w:val="21"/>
              </w:rPr>
              <w:t>0</w:t>
            </w:r>
            <w:r>
              <w:rPr>
                <w:rFonts w:ascii="Times New Roman" w:hAnsi="Times New Roman"/>
                <w:b/>
                <w:sz w:val="21"/>
                <w:szCs w:val="21"/>
              </w:rPr>
              <w:t>:</w:t>
            </w:r>
            <w:r w:rsidR="00C14A9A">
              <w:rPr>
                <w:rFonts w:ascii="Times New Roman" w:hAnsi="Times New Roman"/>
                <w:b/>
                <w:sz w:val="21"/>
                <w:szCs w:val="21"/>
              </w:rPr>
              <w:t>45</w:t>
            </w:r>
            <w:r>
              <w:rPr>
                <w:rFonts w:ascii="Times New Roman" w:hAnsi="Times New Roman"/>
                <w:b/>
                <w:sz w:val="21"/>
                <w:szCs w:val="21"/>
              </w:rPr>
              <w:t>-12:15</w:t>
            </w:r>
          </w:p>
        </w:tc>
        <w:tc>
          <w:tcPr>
            <w:tcW w:w="2297" w:type="dxa"/>
            <w:gridSpan w:val="2"/>
            <w:vAlign w:val="center"/>
          </w:tcPr>
          <w:p w14:paraId="6F8DF334" w14:textId="6C43ADA3" w:rsidR="00870A58" w:rsidRPr="00252B89" w:rsidRDefault="00C8784A" w:rsidP="00C8784A">
            <w:pPr>
              <w:pStyle w:val="NoSpacing"/>
              <w:rPr>
                <w:rFonts w:ascii="Times New Roman" w:hAnsi="Times New Roman"/>
                <w:sz w:val="24"/>
                <w:szCs w:val="24"/>
              </w:rPr>
            </w:pPr>
            <w:r>
              <w:rPr>
                <w:rFonts w:ascii="Times New Roman" w:hAnsi="Times New Roman"/>
                <w:sz w:val="24"/>
                <w:szCs w:val="24"/>
              </w:rPr>
              <w:t>P</w:t>
            </w:r>
            <w:r w:rsidRPr="00252B89">
              <w:rPr>
                <w:rFonts w:ascii="Times New Roman" w:hAnsi="Times New Roman"/>
                <w:sz w:val="24"/>
                <w:szCs w:val="24"/>
              </w:rPr>
              <w:t xml:space="preserve">siholoģiskās sekas </w:t>
            </w:r>
            <w:r>
              <w:rPr>
                <w:rFonts w:ascii="Times New Roman" w:hAnsi="Times New Roman"/>
                <w:sz w:val="24"/>
                <w:szCs w:val="24"/>
              </w:rPr>
              <w:t>c</w:t>
            </w:r>
            <w:r w:rsidR="00052CF4">
              <w:rPr>
                <w:rFonts w:ascii="Times New Roman" w:hAnsi="Times New Roman"/>
                <w:sz w:val="24"/>
                <w:szCs w:val="24"/>
              </w:rPr>
              <w:t>ietuš</w:t>
            </w:r>
            <w:r>
              <w:rPr>
                <w:rFonts w:ascii="Times New Roman" w:hAnsi="Times New Roman"/>
                <w:sz w:val="24"/>
                <w:szCs w:val="24"/>
              </w:rPr>
              <w:t>ajai</w:t>
            </w:r>
            <w:r w:rsidR="00052CF4">
              <w:rPr>
                <w:rFonts w:ascii="Times New Roman" w:hAnsi="Times New Roman"/>
                <w:sz w:val="24"/>
                <w:szCs w:val="24"/>
              </w:rPr>
              <w:t xml:space="preserve"> person</w:t>
            </w:r>
            <w:r>
              <w:rPr>
                <w:rFonts w:ascii="Times New Roman" w:hAnsi="Times New Roman"/>
                <w:sz w:val="24"/>
                <w:szCs w:val="24"/>
              </w:rPr>
              <w:t>ai</w:t>
            </w:r>
            <w:r w:rsidR="00052CF4">
              <w:rPr>
                <w:rFonts w:ascii="Times New Roman" w:hAnsi="Times New Roman"/>
                <w:sz w:val="24"/>
                <w:szCs w:val="24"/>
              </w:rPr>
              <w:t xml:space="preserve"> </w:t>
            </w:r>
            <w:r w:rsidR="00052CF4" w:rsidRPr="00252B89">
              <w:rPr>
                <w:rFonts w:ascii="Times New Roman" w:hAnsi="Times New Roman"/>
                <w:sz w:val="24"/>
                <w:szCs w:val="24"/>
              </w:rPr>
              <w:t xml:space="preserve">pēc </w:t>
            </w:r>
            <w:r>
              <w:rPr>
                <w:rFonts w:ascii="Times New Roman" w:hAnsi="Times New Roman"/>
                <w:sz w:val="24"/>
                <w:szCs w:val="24"/>
              </w:rPr>
              <w:t>noziedzīga nodarījuma</w:t>
            </w:r>
          </w:p>
        </w:tc>
        <w:tc>
          <w:tcPr>
            <w:tcW w:w="1389" w:type="dxa"/>
            <w:vAlign w:val="center"/>
          </w:tcPr>
          <w:p w14:paraId="33B7F579" w14:textId="7BBD055C" w:rsidR="00870A58" w:rsidRDefault="00A97AF0">
            <w:pPr>
              <w:spacing w:after="0" w:line="240" w:lineRule="auto"/>
              <w:ind w:left="-58"/>
              <w:jc w:val="center"/>
              <w:rPr>
                <w:rFonts w:ascii="Times New Roman" w:hAnsi="Times New Roman"/>
                <w:sz w:val="21"/>
                <w:szCs w:val="21"/>
              </w:rPr>
            </w:pPr>
            <w:r w:rsidRPr="00A97AF0">
              <w:rPr>
                <w:rFonts w:ascii="Times New Roman" w:hAnsi="Times New Roman"/>
                <w:sz w:val="21"/>
                <w:szCs w:val="21"/>
              </w:rPr>
              <w:t>izpratne un pielietojums</w:t>
            </w:r>
          </w:p>
        </w:tc>
        <w:tc>
          <w:tcPr>
            <w:tcW w:w="454" w:type="dxa"/>
            <w:vAlign w:val="center"/>
          </w:tcPr>
          <w:p w14:paraId="3350E5DE" w14:textId="7B157512" w:rsidR="00870A58" w:rsidRDefault="00052CF4" w:rsidP="00052CF4">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14:paraId="418F575B" w14:textId="3975098F" w:rsidR="00870A58" w:rsidRDefault="00052CF4">
            <w:pPr>
              <w:spacing w:after="0" w:line="240" w:lineRule="auto"/>
              <w:jc w:val="center"/>
              <w:rPr>
                <w:rFonts w:ascii="Times New Roman" w:hAnsi="Times New Roman"/>
                <w:sz w:val="21"/>
                <w:szCs w:val="21"/>
              </w:rPr>
            </w:pPr>
            <w:r>
              <w:rPr>
                <w:rFonts w:ascii="Times New Roman" w:hAnsi="Times New Roman"/>
                <w:sz w:val="21"/>
                <w:szCs w:val="21"/>
              </w:rPr>
              <w:t>1</w:t>
            </w:r>
          </w:p>
        </w:tc>
        <w:tc>
          <w:tcPr>
            <w:tcW w:w="430" w:type="dxa"/>
            <w:vAlign w:val="center"/>
          </w:tcPr>
          <w:p w14:paraId="33171281" w14:textId="6BF91402" w:rsidR="00870A58" w:rsidRDefault="00052CF4" w:rsidP="00052CF4">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14:paraId="172DAD8A"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4E675655" w14:textId="1A62E133" w:rsidR="00870A58" w:rsidRDefault="00C14A9A">
            <w:pPr>
              <w:spacing w:after="0" w:line="240" w:lineRule="auto"/>
              <w:rPr>
                <w:rFonts w:ascii="Times New Roman" w:hAnsi="Times New Roman"/>
                <w:sz w:val="21"/>
                <w:szCs w:val="21"/>
              </w:rPr>
            </w:pPr>
            <w:r>
              <w:rPr>
                <w:rFonts w:ascii="Times New Roman" w:hAnsi="Times New Roman"/>
                <w:sz w:val="21"/>
                <w:szCs w:val="21"/>
              </w:rPr>
              <w:t xml:space="preserve">Humanitārās </w:t>
            </w:r>
            <w:r w:rsidRPr="00C14A9A">
              <w:rPr>
                <w:rFonts w:ascii="Times New Roman" w:hAnsi="Times New Roman"/>
                <w:sz w:val="21"/>
                <w:szCs w:val="21"/>
              </w:rPr>
              <w:t>katedras pedagogs</w:t>
            </w:r>
          </w:p>
        </w:tc>
      </w:tr>
      <w:tr w:rsidR="00870A58" w:rsidRPr="00DB5C94" w14:paraId="39226387" w14:textId="77777777" w:rsidTr="00DD7A7E">
        <w:trPr>
          <w:trHeight w:val="70"/>
        </w:trPr>
        <w:tc>
          <w:tcPr>
            <w:tcW w:w="534" w:type="dxa"/>
            <w:vAlign w:val="center"/>
          </w:tcPr>
          <w:p w14:paraId="434FC8E7" w14:textId="746F2159" w:rsidR="00870A58" w:rsidRDefault="00A97AF0" w:rsidP="00A97AF0">
            <w:pPr>
              <w:spacing w:after="0" w:line="240" w:lineRule="auto"/>
              <w:jc w:val="center"/>
              <w:rPr>
                <w:rFonts w:ascii="Times New Roman" w:hAnsi="Times New Roman"/>
                <w:sz w:val="20"/>
                <w:szCs w:val="20"/>
              </w:rPr>
            </w:pPr>
            <w:r>
              <w:rPr>
                <w:rFonts w:ascii="Times New Roman" w:hAnsi="Times New Roman"/>
                <w:sz w:val="20"/>
                <w:szCs w:val="20"/>
              </w:rPr>
              <w:t>6</w:t>
            </w:r>
            <w:r w:rsidR="00870A58">
              <w:rPr>
                <w:rFonts w:ascii="Times New Roman" w:hAnsi="Times New Roman"/>
                <w:sz w:val="20"/>
                <w:szCs w:val="20"/>
              </w:rPr>
              <w:t>.</w:t>
            </w:r>
          </w:p>
        </w:tc>
        <w:tc>
          <w:tcPr>
            <w:tcW w:w="850" w:type="dxa"/>
            <w:vAlign w:val="center"/>
          </w:tcPr>
          <w:p w14:paraId="66DB2BBE" w14:textId="3216B3BC" w:rsidR="00870A58" w:rsidRDefault="00870A58" w:rsidP="00141E27">
            <w:pPr>
              <w:spacing w:after="0" w:line="240" w:lineRule="auto"/>
              <w:jc w:val="center"/>
              <w:rPr>
                <w:rFonts w:ascii="Times New Roman" w:hAnsi="Times New Roman"/>
                <w:b/>
                <w:sz w:val="21"/>
                <w:szCs w:val="21"/>
              </w:rPr>
            </w:pPr>
            <w:r>
              <w:rPr>
                <w:rFonts w:ascii="Times New Roman" w:hAnsi="Times New Roman"/>
                <w:b/>
                <w:sz w:val="21"/>
                <w:szCs w:val="21"/>
              </w:rPr>
              <w:t>12:45-1</w:t>
            </w:r>
            <w:r w:rsidR="00141E27">
              <w:rPr>
                <w:rFonts w:ascii="Times New Roman" w:hAnsi="Times New Roman"/>
                <w:b/>
                <w:sz w:val="21"/>
                <w:szCs w:val="21"/>
              </w:rPr>
              <w:t>6</w:t>
            </w:r>
            <w:r>
              <w:rPr>
                <w:rFonts w:ascii="Times New Roman" w:hAnsi="Times New Roman"/>
                <w:b/>
                <w:sz w:val="21"/>
                <w:szCs w:val="21"/>
              </w:rPr>
              <w:t>:</w:t>
            </w:r>
            <w:r w:rsidR="00141E27">
              <w:rPr>
                <w:rFonts w:ascii="Times New Roman" w:hAnsi="Times New Roman"/>
                <w:b/>
                <w:sz w:val="21"/>
                <w:szCs w:val="21"/>
              </w:rPr>
              <w:t>30</w:t>
            </w:r>
          </w:p>
        </w:tc>
        <w:tc>
          <w:tcPr>
            <w:tcW w:w="2297" w:type="dxa"/>
            <w:gridSpan w:val="2"/>
            <w:vAlign w:val="center"/>
          </w:tcPr>
          <w:p w14:paraId="012A1276" w14:textId="002AACAA" w:rsidR="00870A58" w:rsidRPr="00DB5C94" w:rsidRDefault="001B5EEA" w:rsidP="00252B89">
            <w:pPr>
              <w:pStyle w:val="NoSpacing"/>
              <w:rPr>
                <w:rFonts w:ascii="Times New Roman" w:hAnsi="Times New Roman"/>
                <w:sz w:val="24"/>
                <w:szCs w:val="24"/>
              </w:rPr>
            </w:pPr>
            <w:r>
              <w:rPr>
                <w:rFonts w:ascii="Times New Roman" w:hAnsi="Times New Roman"/>
                <w:bCs/>
                <w:sz w:val="24"/>
                <w:szCs w:val="24"/>
              </w:rPr>
              <w:t>6.1.</w:t>
            </w:r>
            <w:r w:rsidR="00FE5E96" w:rsidRPr="00DB5C94">
              <w:rPr>
                <w:rFonts w:ascii="Times New Roman" w:hAnsi="Times New Roman"/>
                <w:bCs/>
                <w:sz w:val="24"/>
                <w:szCs w:val="24"/>
              </w:rPr>
              <w:t>C</w:t>
            </w:r>
            <w:r w:rsidR="00FE5E96" w:rsidRPr="00DB5C94">
              <w:rPr>
                <w:rFonts w:ascii="Times New Roman" w:hAnsi="Times New Roman"/>
                <w:sz w:val="24"/>
                <w:szCs w:val="24"/>
              </w:rPr>
              <w:t>ietušo nopratināšanas psiholoģiskās īpatnības</w:t>
            </w:r>
            <w:r w:rsidR="00A97AF0" w:rsidRPr="00DB5C94">
              <w:rPr>
                <w:rFonts w:ascii="Times New Roman" w:hAnsi="Times New Roman"/>
                <w:sz w:val="24"/>
                <w:szCs w:val="24"/>
              </w:rPr>
              <w:t xml:space="preserve">. </w:t>
            </w:r>
            <w:r>
              <w:rPr>
                <w:rFonts w:ascii="Times New Roman" w:hAnsi="Times New Roman"/>
                <w:sz w:val="24"/>
                <w:szCs w:val="24"/>
              </w:rPr>
              <w:t>6.2.</w:t>
            </w:r>
            <w:r w:rsidR="00A97AF0" w:rsidRPr="00DB5C94">
              <w:rPr>
                <w:rFonts w:ascii="Times New Roman" w:hAnsi="Times New Roman"/>
                <w:sz w:val="24"/>
                <w:szCs w:val="24"/>
              </w:rPr>
              <w:t>Nopratināšanas posmi</w:t>
            </w:r>
            <w:r w:rsidR="00FE5E96" w:rsidRPr="00DB5C94">
              <w:rPr>
                <w:rFonts w:ascii="Times New Roman" w:hAnsi="Times New Roman"/>
                <w:sz w:val="24"/>
                <w:szCs w:val="24"/>
              </w:rPr>
              <w:t xml:space="preserve">: </w:t>
            </w:r>
          </w:p>
          <w:p w14:paraId="4612E4B3" w14:textId="002EB514" w:rsidR="00FE5E96" w:rsidRPr="00DB5C94" w:rsidRDefault="001B5EEA" w:rsidP="001B5EEA">
            <w:pPr>
              <w:pStyle w:val="NoSpacing"/>
              <w:rPr>
                <w:rFonts w:ascii="Times New Roman" w:hAnsi="Times New Roman"/>
                <w:sz w:val="24"/>
                <w:szCs w:val="24"/>
              </w:rPr>
            </w:pPr>
            <w:r>
              <w:rPr>
                <w:rFonts w:ascii="Times New Roman" w:hAnsi="Times New Roman"/>
                <w:sz w:val="24"/>
                <w:szCs w:val="24"/>
              </w:rPr>
              <w:t>6.2.1. s</w:t>
            </w:r>
            <w:r w:rsidR="00FE5E96" w:rsidRPr="00DB5C94">
              <w:rPr>
                <w:rFonts w:ascii="Times New Roman" w:hAnsi="Times New Roman"/>
                <w:sz w:val="24"/>
                <w:szCs w:val="24"/>
              </w:rPr>
              <w:t>agatavošanās</w:t>
            </w:r>
            <w:r>
              <w:rPr>
                <w:rFonts w:ascii="Times New Roman" w:hAnsi="Times New Roman"/>
                <w:sz w:val="24"/>
                <w:szCs w:val="24"/>
              </w:rPr>
              <w:t>;</w:t>
            </w:r>
          </w:p>
          <w:p w14:paraId="5DDC8AD5" w14:textId="7EB9FF79" w:rsidR="00FE5E96" w:rsidRPr="00DB5C94" w:rsidRDefault="001B5EEA" w:rsidP="001B5EEA">
            <w:pPr>
              <w:pStyle w:val="NoSpacing"/>
              <w:rPr>
                <w:rFonts w:ascii="Times New Roman" w:hAnsi="Times New Roman"/>
                <w:sz w:val="24"/>
                <w:szCs w:val="24"/>
              </w:rPr>
            </w:pPr>
            <w:r>
              <w:rPr>
                <w:rFonts w:ascii="Times New Roman" w:hAnsi="Times New Roman"/>
                <w:sz w:val="24"/>
                <w:szCs w:val="24"/>
              </w:rPr>
              <w:t xml:space="preserve">6.2.2. </w:t>
            </w:r>
            <w:r w:rsidR="00FE5E96" w:rsidRPr="00DB5C94">
              <w:rPr>
                <w:rFonts w:ascii="Times New Roman" w:hAnsi="Times New Roman"/>
                <w:sz w:val="24"/>
                <w:szCs w:val="24"/>
              </w:rPr>
              <w:t xml:space="preserve">kontakta </w:t>
            </w:r>
            <w:r>
              <w:rPr>
                <w:rFonts w:ascii="Times New Roman" w:hAnsi="Times New Roman"/>
                <w:sz w:val="24"/>
                <w:szCs w:val="24"/>
              </w:rPr>
              <w:t>izveidošana;</w:t>
            </w:r>
          </w:p>
          <w:p w14:paraId="06CD1A69" w14:textId="2BFFB483" w:rsidR="001B5EEA" w:rsidRDefault="001B5EEA" w:rsidP="001B5EEA">
            <w:pPr>
              <w:pStyle w:val="NoSpacing"/>
              <w:rPr>
                <w:rFonts w:ascii="Times New Roman" w:hAnsi="Times New Roman"/>
                <w:sz w:val="24"/>
                <w:szCs w:val="24"/>
              </w:rPr>
            </w:pPr>
            <w:r>
              <w:rPr>
                <w:rFonts w:ascii="Times New Roman" w:hAnsi="Times New Roman"/>
                <w:sz w:val="24"/>
                <w:szCs w:val="24"/>
              </w:rPr>
              <w:t xml:space="preserve">6.2.3. </w:t>
            </w:r>
            <w:r w:rsidR="00FE5E96" w:rsidRPr="00DB5C94">
              <w:rPr>
                <w:rFonts w:ascii="Times New Roman" w:hAnsi="Times New Roman"/>
                <w:sz w:val="24"/>
                <w:szCs w:val="24"/>
              </w:rPr>
              <w:t>informācijas iegūšana (brīvais stāstījums, jautājumu uzdošana, vajadzību noskaidrošana, informācijas apkopošana)</w:t>
            </w:r>
            <w:r>
              <w:rPr>
                <w:rFonts w:ascii="Times New Roman" w:hAnsi="Times New Roman"/>
                <w:sz w:val="24"/>
                <w:szCs w:val="24"/>
              </w:rPr>
              <w:t>;</w:t>
            </w:r>
          </w:p>
          <w:p w14:paraId="7BE73DCC" w14:textId="0BBCE0B5" w:rsidR="00FE5E96" w:rsidRPr="00DB5C94" w:rsidRDefault="001B5EEA" w:rsidP="001B5EEA">
            <w:pPr>
              <w:pStyle w:val="NoSpacing"/>
              <w:rPr>
                <w:rFonts w:ascii="Times New Roman" w:hAnsi="Times New Roman"/>
                <w:sz w:val="24"/>
                <w:szCs w:val="24"/>
              </w:rPr>
            </w:pPr>
            <w:r>
              <w:rPr>
                <w:rFonts w:ascii="Times New Roman" w:hAnsi="Times New Roman"/>
                <w:sz w:val="24"/>
                <w:szCs w:val="24"/>
              </w:rPr>
              <w:t xml:space="preserve">6.2.4. </w:t>
            </w:r>
            <w:r w:rsidR="00FE5E96" w:rsidRPr="00DB5C94">
              <w:rPr>
                <w:rFonts w:ascii="Times New Roman" w:hAnsi="Times New Roman"/>
                <w:sz w:val="24"/>
                <w:szCs w:val="24"/>
              </w:rPr>
              <w:t>nobeigums</w:t>
            </w:r>
            <w:r w:rsidR="00D36920" w:rsidRPr="00DB5C94">
              <w:rPr>
                <w:rFonts w:ascii="Times New Roman" w:hAnsi="Times New Roman"/>
                <w:sz w:val="24"/>
                <w:szCs w:val="24"/>
              </w:rPr>
              <w:t>.</w:t>
            </w:r>
          </w:p>
          <w:p w14:paraId="1B0870DA" w14:textId="46E7B300" w:rsidR="00656798" w:rsidRPr="00DB5C94" w:rsidRDefault="00067F2D" w:rsidP="00656798">
            <w:pPr>
              <w:pStyle w:val="NoSpacing"/>
              <w:rPr>
                <w:rFonts w:ascii="Times New Roman" w:hAnsi="Times New Roman"/>
                <w:sz w:val="24"/>
                <w:szCs w:val="24"/>
              </w:rPr>
            </w:pPr>
            <w:r w:rsidRPr="00DB5C94">
              <w:rPr>
                <w:rFonts w:ascii="Times New Roman" w:hAnsi="Times New Roman"/>
                <w:sz w:val="24"/>
                <w:szCs w:val="24"/>
              </w:rPr>
              <w:t xml:space="preserve">Klausītāju zināšanu pārbaude </w:t>
            </w:r>
          </w:p>
        </w:tc>
        <w:tc>
          <w:tcPr>
            <w:tcW w:w="1389" w:type="dxa"/>
            <w:vAlign w:val="center"/>
          </w:tcPr>
          <w:p w14:paraId="2DDE2440" w14:textId="61393B8D" w:rsidR="00870A58" w:rsidRPr="00DB5C94" w:rsidRDefault="00A97AF0">
            <w:pPr>
              <w:spacing w:after="0" w:line="240" w:lineRule="auto"/>
              <w:ind w:left="-58"/>
              <w:jc w:val="center"/>
              <w:rPr>
                <w:rFonts w:ascii="Times New Roman" w:hAnsi="Times New Roman"/>
                <w:sz w:val="21"/>
                <w:szCs w:val="21"/>
              </w:rPr>
            </w:pPr>
            <w:r w:rsidRPr="00DB5C94">
              <w:rPr>
                <w:rFonts w:ascii="Times New Roman" w:hAnsi="Times New Roman"/>
                <w:sz w:val="21"/>
                <w:szCs w:val="21"/>
              </w:rPr>
              <w:t>izpratne un pielietojums</w:t>
            </w:r>
          </w:p>
        </w:tc>
        <w:tc>
          <w:tcPr>
            <w:tcW w:w="454" w:type="dxa"/>
            <w:vAlign w:val="center"/>
          </w:tcPr>
          <w:p w14:paraId="3E2188E9" w14:textId="77777777" w:rsidR="00870A58" w:rsidRPr="00DB5C94" w:rsidRDefault="00113142">
            <w:pPr>
              <w:spacing w:after="0" w:line="240" w:lineRule="auto"/>
              <w:jc w:val="center"/>
              <w:rPr>
                <w:rFonts w:ascii="Times New Roman" w:hAnsi="Times New Roman"/>
                <w:sz w:val="21"/>
                <w:szCs w:val="21"/>
              </w:rPr>
            </w:pPr>
            <w:r w:rsidRPr="00DB5C94">
              <w:rPr>
                <w:rFonts w:ascii="Times New Roman" w:hAnsi="Times New Roman"/>
                <w:sz w:val="21"/>
                <w:szCs w:val="21"/>
              </w:rPr>
              <w:t>2</w:t>
            </w:r>
          </w:p>
        </w:tc>
        <w:tc>
          <w:tcPr>
            <w:tcW w:w="577" w:type="dxa"/>
            <w:vAlign w:val="center"/>
          </w:tcPr>
          <w:p w14:paraId="278E2E6F" w14:textId="5B705808" w:rsidR="00870A58" w:rsidRPr="00DB5C94" w:rsidRDefault="00C14A9A">
            <w:pPr>
              <w:spacing w:after="0" w:line="240" w:lineRule="auto"/>
              <w:jc w:val="center"/>
              <w:rPr>
                <w:rFonts w:ascii="Times New Roman" w:hAnsi="Times New Roman"/>
                <w:sz w:val="21"/>
                <w:szCs w:val="21"/>
              </w:rPr>
            </w:pPr>
            <w:r>
              <w:rPr>
                <w:rFonts w:ascii="Times New Roman" w:hAnsi="Times New Roman"/>
                <w:sz w:val="21"/>
                <w:szCs w:val="21"/>
              </w:rPr>
              <w:t>3</w:t>
            </w:r>
          </w:p>
        </w:tc>
        <w:tc>
          <w:tcPr>
            <w:tcW w:w="430" w:type="dxa"/>
            <w:vAlign w:val="center"/>
          </w:tcPr>
          <w:p w14:paraId="14981F5C" w14:textId="69E83D2B" w:rsidR="00870A58" w:rsidRPr="00DB5C94" w:rsidRDefault="00C14A9A">
            <w:pPr>
              <w:spacing w:after="0" w:line="240" w:lineRule="auto"/>
              <w:jc w:val="center"/>
              <w:rPr>
                <w:rFonts w:ascii="Times New Roman" w:hAnsi="Times New Roman"/>
                <w:sz w:val="21"/>
                <w:szCs w:val="21"/>
              </w:rPr>
            </w:pPr>
            <w:r>
              <w:rPr>
                <w:rFonts w:ascii="Times New Roman" w:hAnsi="Times New Roman"/>
                <w:sz w:val="21"/>
                <w:szCs w:val="21"/>
              </w:rPr>
              <w:t>5</w:t>
            </w:r>
          </w:p>
        </w:tc>
        <w:tc>
          <w:tcPr>
            <w:tcW w:w="1544" w:type="dxa"/>
            <w:vAlign w:val="center"/>
          </w:tcPr>
          <w:p w14:paraId="2AF7C764" w14:textId="77E0EB8A" w:rsidR="00870A58" w:rsidRPr="00DB5C94" w:rsidRDefault="00656798">
            <w:pPr>
              <w:spacing w:after="0" w:line="240" w:lineRule="auto"/>
              <w:ind w:left="-108" w:right="-108"/>
              <w:jc w:val="center"/>
              <w:rPr>
                <w:rFonts w:ascii="Times New Roman" w:hAnsi="Times New Roman"/>
                <w:sz w:val="21"/>
                <w:szCs w:val="21"/>
              </w:rPr>
            </w:pPr>
            <w:r w:rsidRPr="00DB5C94">
              <w:rPr>
                <w:rFonts w:ascii="Times New Roman" w:hAnsi="Times New Roman"/>
                <w:sz w:val="21"/>
                <w:szCs w:val="21"/>
              </w:rPr>
              <w:t>lekcija, praktiskie uzdevumi</w:t>
            </w:r>
          </w:p>
        </w:tc>
        <w:tc>
          <w:tcPr>
            <w:tcW w:w="1439" w:type="dxa"/>
            <w:gridSpan w:val="2"/>
            <w:vAlign w:val="center"/>
          </w:tcPr>
          <w:p w14:paraId="7EA91F4A" w14:textId="106574D4" w:rsidR="005F2E08" w:rsidRPr="00DB5C94" w:rsidRDefault="00C14A9A">
            <w:pPr>
              <w:spacing w:after="0" w:line="240" w:lineRule="auto"/>
              <w:rPr>
                <w:rFonts w:ascii="Times New Roman" w:hAnsi="Times New Roman"/>
                <w:sz w:val="21"/>
                <w:szCs w:val="21"/>
              </w:rPr>
            </w:pPr>
            <w:r>
              <w:rPr>
                <w:rFonts w:ascii="Times New Roman" w:hAnsi="Times New Roman"/>
                <w:sz w:val="21"/>
                <w:szCs w:val="21"/>
              </w:rPr>
              <w:t xml:space="preserve">Humanitārās </w:t>
            </w:r>
            <w:r w:rsidRPr="00C14A9A">
              <w:rPr>
                <w:rFonts w:ascii="Times New Roman" w:hAnsi="Times New Roman"/>
                <w:sz w:val="21"/>
                <w:szCs w:val="21"/>
              </w:rPr>
              <w:t>katedras pedagogs</w:t>
            </w:r>
          </w:p>
        </w:tc>
      </w:tr>
      <w:tr w:rsidR="00DE02B5" w:rsidRPr="00DB5C94" w14:paraId="0F87E2A4" w14:textId="77777777" w:rsidTr="00DD7A7E">
        <w:tc>
          <w:tcPr>
            <w:tcW w:w="5070" w:type="dxa"/>
            <w:gridSpan w:val="5"/>
            <w:vAlign w:val="center"/>
          </w:tcPr>
          <w:p w14:paraId="1BDCBB6E" w14:textId="7B5DDA59" w:rsidR="00DE02B5" w:rsidRPr="00DB5C94" w:rsidRDefault="00EC29CD" w:rsidP="00DE02B5">
            <w:pPr>
              <w:spacing w:after="0" w:line="240" w:lineRule="auto"/>
              <w:jc w:val="right"/>
              <w:rPr>
                <w:rFonts w:ascii="Times New Roman" w:hAnsi="Times New Roman"/>
                <w:b/>
                <w:sz w:val="20"/>
                <w:szCs w:val="20"/>
              </w:rPr>
            </w:pPr>
            <w:r w:rsidRPr="00DB5C94">
              <w:rPr>
                <w:rFonts w:ascii="Times New Roman" w:hAnsi="Times New Roman"/>
                <w:b/>
                <w:sz w:val="20"/>
                <w:szCs w:val="20"/>
              </w:rPr>
              <w:t xml:space="preserve">Kopā </w:t>
            </w:r>
          </w:p>
        </w:tc>
        <w:tc>
          <w:tcPr>
            <w:tcW w:w="454" w:type="dxa"/>
            <w:vAlign w:val="center"/>
          </w:tcPr>
          <w:p w14:paraId="7E0F1B49" w14:textId="14AEDF67" w:rsidR="00DE02B5" w:rsidRPr="00DB5C94" w:rsidRDefault="00C14A9A" w:rsidP="00DE02B5">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577" w:type="dxa"/>
            <w:vAlign w:val="center"/>
          </w:tcPr>
          <w:p w14:paraId="2496C5CB" w14:textId="70278791" w:rsidR="00DE02B5" w:rsidRPr="00DB5C94" w:rsidRDefault="00C14A9A" w:rsidP="00DE02B5">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430" w:type="dxa"/>
            <w:vAlign w:val="center"/>
          </w:tcPr>
          <w:p w14:paraId="472EC367" w14:textId="77777777" w:rsidR="00DE02B5" w:rsidRPr="00DB5C94" w:rsidRDefault="00EC29CD" w:rsidP="00DE02B5">
            <w:pPr>
              <w:spacing w:after="0" w:line="240" w:lineRule="auto"/>
              <w:jc w:val="center"/>
              <w:rPr>
                <w:rFonts w:ascii="Times New Roman" w:hAnsi="Times New Roman"/>
                <w:b/>
                <w:sz w:val="20"/>
                <w:szCs w:val="20"/>
              </w:rPr>
            </w:pPr>
            <w:r w:rsidRPr="00DB5C94">
              <w:rPr>
                <w:rFonts w:ascii="Times New Roman" w:hAnsi="Times New Roman"/>
                <w:b/>
                <w:sz w:val="20"/>
                <w:szCs w:val="20"/>
              </w:rPr>
              <w:t>16</w:t>
            </w:r>
          </w:p>
        </w:tc>
        <w:tc>
          <w:tcPr>
            <w:tcW w:w="2983" w:type="dxa"/>
            <w:gridSpan w:val="3"/>
            <w:vAlign w:val="center"/>
          </w:tcPr>
          <w:p w14:paraId="680B2B45" w14:textId="77777777" w:rsidR="00DE02B5" w:rsidRPr="00DB5C94" w:rsidRDefault="00DE02B5" w:rsidP="00DE02B5">
            <w:pPr>
              <w:spacing w:after="0" w:line="240" w:lineRule="auto"/>
              <w:jc w:val="center"/>
              <w:rPr>
                <w:rFonts w:ascii="Times New Roman" w:hAnsi="Times New Roman"/>
                <w:b/>
                <w:sz w:val="20"/>
                <w:szCs w:val="20"/>
              </w:rPr>
            </w:pPr>
          </w:p>
        </w:tc>
      </w:tr>
      <w:tr w:rsidR="00DE02B5" w:rsidRPr="006778C1" w14:paraId="6DE6FADD" w14:textId="77777777" w:rsidTr="00DD7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14:paraId="6B0E689F" w14:textId="77777777" w:rsidR="00DE02B5" w:rsidRPr="006778C1" w:rsidRDefault="00DE02B5" w:rsidP="00DE02B5">
            <w:pPr>
              <w:spacing w:after="0" w:line="240" w:lineRule="auto"/>
              <w:rPr>
                <w:rFonts w:ascii="Times New Roman" w:hAnsi="Times New Roman"/>
                <w:sz w:val="24"/>
                <w:szCs w:val="24"/>
              </w:rPr>
            </w:pPr>
          </w:p>
          <w:p w14:paraId="22D07AB3" w14:textId="77777777" w:rsidR="00DE02B5" w:rsidRPr="006778C1" w:rsidRDefault="00DE02B5" w:rsidP="00DE02B5">
            <w:pPr>
              <w:spacing w:after="0" w:line="240" w:lineRule="auto"/>
              <w:rPr>
                <w:rFonts w:ascii="Times New Roman" w:hAnsi="Times New Roman"/>
                <w:sz w:val="24"/>
                <w:szCs w:val="24"/>
              </w:rPr>
            </w:pPr>
          </w:p>
          <w:p w14:paraId="32FFDDE6" w14:textId="77777777" w:rsidR="00DE02B5" w:rsidRPr="006778C1" w:rsidRDefault="00DE02B5" w:rsidP="00DE02B5">
            <w:pPr>
              <w:spacing w:after="0" w:line="240" w:lineRule="auto"/>
              <w:rPr>
                <w:rFonts w:ascii="Times New Roman" w:hAnsi="Times New Roman"/>
                <w:sz w:val="24"/>
                <w:szCs w:val="24"/>
              </w:rPr>
            </w:pPr>
            <w:r w:rsidRPr="006778C1">
              <w:rPr>
                <w:rFonts w:ascii="Times New Roman" w:hAnsi="Times New Roman"/>
                <w:sz w:val="24"/>
                <w:szCs w:val="24"/>
              </w:rPr>
              <w:t>Izmantojamās literatūras un avotu saraksts:</w:t>
            </w:r>
          </w:p>
          <w:p w14:paraId="1CF0953A" w14:textId="77777777" w:rsidR="00DE02B5" w:rsidRPr="006778C1" w:rsidRDefault="00DE02B5" w:rsidP="00DE02B5">
            <w:pPr>
              <w:pStyle w:val="BodyText"/>
              <w:spacing w:line="360" w:lineRule="auto"/>
              <w:rPr>
                <w:bCs/>
              </w:rPr>
            </w:pPr>
          </w:p>
        </w:tc>
        <w:tc>
          <w:tcPr>
            <w:tcW w:w="6051" w:type="dxa"/>
            <w:gridSpan w:val="7"/>
          </w:tcPr>
          <w:p w14:paraId="54998F49" w14:textId="77777777" w:rsidR="00DE02B5" w:rsidRPr="006778C1" w:rsidRDefault="00DE02B5" w:rsidP="00DE02B5">
            <w:pPr>
              <w:spacing w:before="100" w:beforeAutospacing="1" w:after="100" w:afterAutospacing="1" w:line="240" w:lineRule="auto"/>
              <w:ind w:left="155"/>
              <w:contextualSpacing/>
              <w:rPr>
                <w:rFonts w:ascii="Times New Roman" w:hAnsi="Times New Roman"/>
                <w:sz w:val="24"/>
                <w:szCs w:val="24"/>
                <w:lang w:eastAsia="ru-RU"/>
              </w:rPr>
            </w:pPr>
          </w:p>
          <w:p w14:paraId="221ACCB9" w14:textId="77777777" w:rsidR="00DE02B5" w:rsidRPr="006778C1" w:rsidRDefault="00DE02B5" w:rsidP="00DE02B5">
            <w:pPr>
              <w:spacing w:before="100" w:beforeAutospacing="1" w:after="0" w:afterAutospacing="1" w:line="240" w:lineRule="auto"/>
              <w:ind w:left="515"/>
              <w:contextualSpacing/>
              <w:rPr>
                <w:rFonts w:ascii="Times New Roman" w:hAnsi="Times New Roman"/>
                <w:sz w:val="24"/>
                <w:szCs w:val="24"/>
              </w:rPr>
            </w:pPr>
          </w:p>
          <w:p w14:paraId="768C91F8" w14:textId="77777777" w:rsidR="00DB5C94" w:rsidRPr="006778C1" w:rsidRDefault="00067F2D" w:rsidP="00333BF0">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Par kompensāciju noziegumos cietušajiem: Eiropas Padomes 2004.gada 29.aprīļa Direktīva 2004/80/EK.;</w:t>
            </w:r>
          </w:p>
          <w:p w14:paraId="3E51157F" w14:textId="09C8CBB0" w:rsidR="00DB5C94" w:rsidRPr="006778C1" w:rsidRDefault="00067F2D" w:rsidP="00333BF0">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2012.gada 25.oktobra Eiropas Parlamenta un Padomes direktīva 2012/29/ES;</w:t>
            </w:r>
          </w:p>
          <w:p w14:paraId="237544A2" w14:textId="47B278B6" w:rsidR="00DB5C94" w:rsidRPr="006778C1" w:rsidRDefault="00DE02B5" w:rsidP="004E386F">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lang w:eastAsia="ru-RU"/>
              </w:rPr>
              <w:t>Krimināllikums;</w:t>
            </w:r>
          </w:p>
          <w:p w14:paraId="5335E8BF" w14:textId="64D6B5BE" w:rsidR="00DB5C94" w:rsidRPr="006778C1" w:rsidRDefault="00DE02B5" w:rsidP="00364675">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Kriminālprocesa likums;</w:t>
            </w:r>
          </w:p>
          <w:p w14:paraId="3A06A43F" w14:textId="562EBAC8" w:rsidR="00DB5C94" w:rsidRPr="006778C1" w:rsidRDefault="00067F2D" w:rsidP="008F7509">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Likums “Par valsts kompensāciju cietušajiem”;</w:t>
            </w:r>
          </w:p>
          <w:p w14:paraId="6961CA25" w14:textId="2BD7C4CD" w:rsidR="00DB5C94" w:rsidRPr="006778C1" w:rsidRDefault="00DE02B5" w:rsidP="00173ECB">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Likums „Par policiju”;</w:t>
            </w:r>
          </w:p>
          <w:p w14:paraId="279EF625" w14:textId="77777777" w:rsidR="00DB5C94" w:rsidRPr="006778C1" w:rsidRDefault="00DE02B5" w:rsidP="00BB180E">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Valsts policijas 2014.gada 16.septembra iekšējiem noteikumiem Nr.35 „Valsts policijas ētikas kodekss”;</w:t>
            </w:r>
          </w:p>
          <w:p w14:paraId="7A253AED" w14:textId="1855B8CB" w:rsidR="00DE02B5" w:rsidRPr="006778C1" w:rsidRDefault="00DE02B5" w:rsidP="00BB180E">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Landmane, D., Rinkevics, A., Eināts, K. (2013). Policista rokasgrāmata darbā ar cietušajiem. Rīga: Valsts policija.</w:t>
            </w:r>
          </w:p>
          <w:p w14:paraId="0152860C"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Pīzi A., B. Ķermeņa valoda. Jumava. R., 2006.</w:t>
            </w:r>
          </w:p>
          <w:p w14:paraId="55ED2CC9"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Smilgainis V. Liecinieku liecību psiholoģija. R., LU, 1995.</w:t>
            </w:r>
          </w:p>
          <w:p w14:paraId="06DBFE3B"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Еникеев М.И. Юридическая психология. Питер, 2004.</w:t>
            </w:r>
          </w:p>
          <w:p w14:paraId="40B4C8E4"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lastRenderedPageBreak/>
              <w:t>Малкина-Пых И.Г. Психология поведения жертвы. Справочник практического психолога. М., 2006.</w:t>
            </w:r>
          </w:p>
          <w:p w14:paraId="728BBA27"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Пиголкин Ю. И., Дмитриева О. А., Щитов Н. Г., Дерягин Г. Б. Сексуальное насилие. Теория, подходы и методы исследования. М., 2008.</w:t>
            </w:r>
          </w:p>
          <w:p w14:paraId="75715683"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Романов В.В. Юриди</w:t>
            </w:r>
            <w:r w:rsidRPr="006778C1">
              <w:rPr>
                <w:rFonts w:ascii="Times New Roman" w:hAnsi="Times New Roman"/>
                <w:sz w:val="24"/>
                <w:szCs w:val="24"/>
                <w:lang w:val="ru-RU"/>
              </w:rPr>
              <w:t>ческая психология. М., 1999</w:t>
            </w:r>
            <w:r w:rsidRPr="006778C1">
              <w:rPr>
                <w:rFonts w:ascii="Times New Roman" w:hAnsi="Times New Roman"/>
                <w:sz w:val="24"/>
                <w:szCs w:val="24"/>
              </w:rPr>
              <w:t>.</w:t>
            </w:r>
          </w:p>
          <w:p w14:paraId="1810D29C"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lang w:val="ru-RU"/>
              </w:rPr>
              <w:t>Чуфаровский Ю.В. Юридическая психология. М., 2005</w:t>
            </w:r>
            <w:r w:rsidRPr="006778C1">
              <w:rPr>
                <w:rFonts w:ascii="Times New Roman" w:hAnsi="Times New Roman"/>
                <w:sz w:val="24"/>
                <w:szCs w:val="24"/>
              </w:rPr>
              <w:t>.</w:t>
            </w:r>
          </w:p>
          <w:p w14:paraId="586C5741"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Hazelwood R. R., Burgess W.A. Practical aspects of Rape investigation. Multidisciplinary approach. CRC Press, 1999.</w:t>
            </w:r>
          </w:p>
          <w:p w14:paraId="4F5C3560" w14:textId="49BCE1DC"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 xml:space="preserve">Mukasey, M.B., Sedgwick, J.L., &amp; Gillis, J.W. (2008). First response to victims of crime: a </w:t>
            </w:r>
            <w:r w:rsidR="00364C46" w:rsidRPr="006778C1">
              <w:rPr>
                <w:rFonts w:ascii="Times New Roman" w:hAnsi="Times New Roman"/>
                <w:sz w:val="24"/>
                <w:szCs w:val="24"/>
              </w:rPr>
              <w:t>g</w:t>
            </w:r>
            <w:r w:rsidRPr="006778C1">
              <w:rPr>
                <w:rFonts w:ascii="Times New Roman" w:hAnsi="Times New Roman"/>
                <w:sz w:val="24"/>
                <w:szCs w:val="24"/>
              </w:rPr>
              <w:t>uidebook for law enforcement officers. U.S. Department of Justice, Office of Justice Programms, Office for Victims of Crime.Pieejams: https://ojp.gov/ovc/publications/</w:t>
            </w:r>
          </w:p>
          <w:p w14:paraId="1F7878C5" w14:textId="77777777" w:rsidR="00DE02B5" w:rsidRPr="006778C1" w:rsidRDefault="00DE02B5" w:rsidP="00DE02B5">
            <w:p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infores/pdftxt/FirstResponseGuidebook.pdf</w:t>
            </w:r>
          </w:p>
          <w:p w14:paraId="6BBDEFAF" w14:textId="77777777" w:rsidR="00DE02B5" w:rsidRPr="006778C1" w:rsidRDefault="00DE02B5" w:rsidP="00067F2D">
            <w:pPr>
              <w:numPr>
                <w:ilvl w:val="0"/>
                <w:numId w:val="8"/>
              </w:numPr>
              <w:spacing w:before="100" w:beforeAutospacing="1" w:after="0" w:afterAutospacing="1" w:line="240" w:lineRule="auto"/>
              <w:ind w:left="515"/>
              <w:contextualSpacing/>
              <w:jc w:val="both"/>
              <w:rPr>
                <w:rFonts w:ascii="Times New Roman" w:hAnsi="Times New Roman"/>
                <w:sz w:val="24"/>
                <w:szCs w:val="24"/>
              </w:rPr>
            </w:pPr>
            <w:r w:rsidRPr="006778C1">
              <w:rPr>
                <w:rFonts w:ascii="Times New Roman" w:hAnsi="Times New Roman"/>
                <w:sz w:val="24"/>
                <w:szCs w:val="24"/>
              </w:rPr>
              <w:t>Rebuilding live supporting victims of crime (2005). Criminal Justice system: working together for the police. Pieejams: https://www.gov.uk/government/</w:t>
            </w:r>
          </w:p>
          <w:p w14:paraId="1AF60E5C" w14:textId="77777777" w:rsidR="006778C1" w:rsidRPr="006778C1" w:rsidRDefault="00DE02B5" w:rsidP="00DE02B5">
            <w:pPr>
              <w:spacing w:before="100" w:beforeAutospacing="1" w:after="0" w:afterAutospacing="1" w:line="240" w:lineRule="auto"/>
              <w:ind w:left="515"/>
              <w:contextualSpacing/>
              <w:jc w:val="both"/>
              <w:rPr>
                <w:sz w:val="24"/>
                <w:szCs w:val="24"/>
              </w:rPr>
            </w:pPr>
            <w:r w:rsidRPr="006778C1">
              <w:rPr>
                <w:rFonts w:ascii="Times New Roman" w:hAnsi="Times New Roman"/>
                <w:sz w:val="24"/>
                <w:szCs w:val="24"/>
              </w:rPr>
              <w:t>uploads/system/uploads/attachment_data/file/272209/6705.pdf</w:t>
            </w:r>
            <w:r w:rsidR="006778C1" w:rsidRPr="006778C1">
              <w:rPr>
                <w:sz w:val="24"/>
                <w:szCs w:val="24"/>
              </w:rPr>
              <w:t xml:space="preserve"> </w:t>
            </w:r>
          </w:p>
          <w:p w14:paraId="70A10FC5" w14:textId="2780F5F2" w:rsidR="00DE02B5" w:rsidRPr="006778C1" w:rsidRDefault="006778C1" w:rsidP="006778C1">
            <w:pPr>
              <w:spacing w:before="100" w:beforeAutospacing="1" w:after="0" w:afterAutospacing="1" w:line="240" w:lineRule="auto"/>
              <w:ind w:left="469" w:hanging="425"/>
              <w:contextualSpacing/>
              <w:jc w:val="both"/>
              <w:rPr>
                <w:rFonts w:ascii="Times New Roman" w:hAnsi="Times New Roman"/>
                <w:sz w:val="24"/>
                <w:szCs w:val="24"/>
              </w:rPr>
            </w:pPr>
            <w:r w:rsidRPr="006778C1">
              <w:rPr>
                <w:rFonts w:ascii="Times New Roman" w:hAnsi="Times New Roman"/>
                <w:sz w:val="24"/>
                <w:szCs w:val="24"/>
              </w:rPr>
              <w:t>19. COLPI interaktīvie multimediju materiāli „Attieksme pret cietušajiem”, „Saskarsmes prasme”.</w:t>
            </w:r>
          </w:p>
        </w:tc>
      </w:tr>
    </w:tbl>
    <w:p w14:paraId="5132EBB1" w14:textId="77777777" w:rsidR="00870A58" w:rsidRPr="006778C1" w:rsidRDefault="00870A58" w:rsidP="009E6E78">
      <w:pPr>
        <w:shd w:val="clear" w:color="auto" w:fill="FFFFFF"/>
        <w:spacing w:after="0" w:line="240" w:lineRule="auto"/>
        <w:jc w:val="both"/>
        <w:rPr>
          <w:rFonts w:ascii="Times New Roman" w:hAnsi="Times New Roman"/>
          <w:color w:val="000000"/>
          <w:spacing w:val="-4"/>
          <w:w w:val="106"/>
          <w:sz w:val="24"/>
          <w:szCs w:val="24"/>
        </w:rPr>
      </w:pPr>
    </w:p>
    <w:p w14:paraId="2988C56F" w14:textId="77777777" w:rsidR="00E20211" w:rsidRDefault="00E20211" w:rsidP="009E6E78">
      <w:pPr>
        <w:shd w:val="clear" w:color="auto" w:fill="FFFFFF"/>
        <w:spacing w:after="0" w:line="240" w:lineRule="auto"/>
        <w:jc w:val="both"/>
        <w:rPr>
          <w:rFonts w:ascii="Times New Roman" w:hAnsi="Times New Roman"/>
          <w:color w:val="000000"/>
          <w:spacing w:val="-4"/>
          <w:w w:val="106"/>
          <w:sz w:val="28"/>
          <w:szCs w:val="28"/>
        </w:rPr>
      </w:pPr>
    </w:p>
    <w:p w14:paraId="7F0B0EE2" w14:textId="77777777" w:rsidR="00C46FAE" w:rsidRDefault="00C46FAE" w:rsidP="009E6E78">
      <w:pPr>
        <w:shd w:val="clear" w:color="auto" w:fill="FFFFFF"/>
        <w:spacing w:after="0" w:line="240" w:lineRule="auto"/>
        <w:jc w:val="both"/>
        <w:rPr>
          <w:rFonts w:ascii="Times New Roman" w:hAnsi="Times New Roman"/>
          <w:color w:val="000000"/>
          <w:spacing w:val="-4"/>
          <w:w w:val="106"/>
          <w:sz w:val="28"/>
          <w:szCs w:val="28"/>
        </w:rPr>
      </w:pPr>
      <w:bookmarkStart w:id="0" w:name="_GoBack"/>
      <w:bookmarkEnd w:id="0"/>
    </w:p>
    <w:sectPr w:rsidR="00C46FAE"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ED21BC4"/>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B9636F"/>
    <w:multiLevelType w:val="hybridMultilevel"/>
    <w:tmpl w:val="09F2D3C0"/>
    <w:lvl w:ilvl="0" w:tplc="BC28DF4C">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A6A6EC3"/>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E01770"/>
    <w:multiLevelType w:val="hybridMultilevel"/>
    <w:tmpl w:val="A330D534"/>
    <w:lvl w:ilvl="0" w:tplc="0E10C352">
      <w:start w:val="1"/>
      <w:numFmt w:val="bullet"/>
      <w:lvlText w:val=""/>
      <w:lvlJc w:val="left"/>
      <w:pPr>
        <w:tabs>
          <w:tab w:val="num" w:pos="1800"/>
        </w:tabs>
        <w:ind w:left="1800" w:hanging="360"/>
      </w:pPr>
      <w:rPr>
        <w:rFonts w:ascii="Symbol" w:hAnsi="Symbol" w:cs="Bodoni MT Black" w:hint="default"/>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42438"/>
    <w:rsid w:val="00050C4C"/>
    <w:rsid w:val="00052CF4"/>
    <w:rsid w:val="00067F2D"/>
    <w:rsid w:val="00086C18"/>
    <w:rsid w:val="000C3D00"/>
    <w:rsid w:val="000E623F"/>
    <w:rsid w:val="00100055"/>
    <w:rsid w:val="00113142"/>
    <w:rsid w:val="00141E27"/>
    <w:rsid w:val="001518CD"/>
    <w:rsid w:val="0015293B"/>
    <w:rsid w:val="001901CD"/>
    <w:rsid w:val="00193BEC"/>
    <w:rsid w:val="001A4F83"/>
    <w:rsid w:val="001B5EEA"/>
    <w:rsid w:val="001C3794"/>
    <w:rsid w:val="002262AD"/>
    <w:rsid w:val="00236F29"/>
    <w:rsid w:val="00252B89"/>
    <w:rsid w:val="00283D60"/>
    <w:rsid w:val="00292FDD"/>
    <w:rsid w:val="002A5B97"/>
    <w:rsid w:val="002C4D93"/>
    <w:rsid w:val="002D3BA0"/>
    <w:rsid w:val="002D4550"/>
    <w:rsid w:val="002E1FBE"/>
    <w:rsid w:val="002F39D9"/>
    <w:rsid w:val="003037B3"/>
    <w:rsid w:val="00307FB9"/>
    <w:rsid w:val="003472E6"/>
    <w:rsid w:val="00352F58"/>
    <w:rsid w:val="00364C46"/>
    <w:rsid w:val="00377906"/>
    <w:rsid w:val="003808EA"/>
    <w:rsid w:val="00383BFF"/>
    <w:rsid w:val="003D3972"/>
    <w:rsid w:val="003D513D"/>
    <w:rsid w:val="003D79BA"/>
    <w:rsid w:val="003F6598"/>
    <w:rsid w:val="00401801"/>
    <w:rsid w:val="004460E7"/>
    <w:rsid w:val="004510D7"/>
    <w:rsid w:val="00465FC0"/>
    <w:rsid w:val="004966DB"/>
    <w:rsid w:val="004C6DB9"/>
    <w:rsid w:val="004D5339"/>
    <w:rsid w:val="004F32A2"/>
    <w:rsid w:val="00505876"/>
    <w:rsid w:val="00513AAF"/>
    <w:rsid w:val="00536C7A"/>
    <w:rsid w:val="00553659"/>
    <w:rsid w:val="005849FB"/>
    <w:rsid w:val="005A0FD3"/>
    <w:rsid w:val="005E04DB"/>
    <w:rsid w:val="005E0F5E"/>
    <w:rsid w:val="005E6455"/>
    <w:rsid w:val="005F24F2"/>
    <w:rsid w:val="005F2E08"/>
    <w:rsid w:val="00624FE1"/>
    <w:rsid w:val="00645AA9"/>
    <w:rsid w:val="00653DEB"/>
    <w:rsid w:val="00656798"/>
    <w:rsid w:val="006778C1"/>
    <w:rsid w:val="00677AC1"/>
    <w:rsid w:val="006A1C29"/>
    <w:rsid w:val="006A607D"/>
    <w:rsid w:val="006B3C4A"/>
    <w:rsid w:val="006C3A3A"/>
    <w:rsid w:val="006F0F1C"/>
    <w:rsid w:val="006F4D8A"/>
    <w:rsid w:val="00724F45"/>
    <w:rsid w:val="00755DE7"/>
    <w:rsid w:val="00762F42"/>
    <w:rsid w:val="007A51F7"/>
    <w:rsid w:val="007A75D9"/>
    <w:rsid w:val="007E6970"/>
    <w:rsid w:val="007F09E9"/>
    <w:rsid w:val="00803EFA"/>
    <w:rsid w:val="008064D6"/>
    <w:rsid w:val="00827287"/>
    <w:rsid w:val="00837828"/>
    <w:rsid w:val="00870A58"/>
    <w:rsid w:val="008758CA"/>
    <w:rsid w:val="008B1F2F"/>
    <w:rsid w:val="008E3025"/>
    <w:rsid w:val="008F658C"/>
    <w:rsid w:val="00902421"/>
    <w:rsid w:val="009316F4"/>
    <w:rsid w:val="00983F21"/>
    <w:rsid w:val="0098419F"/>
    <w:rsid w:val="00992E63"/>
    <w:rsid w:val="00996E6B"/>
    <w:rsid w:val="009C6AEA"/>
    <w:rsid w:val="009C7FB3"/>
    <w:rsid w:val="009E6E78"/>
    <w:rsid w:val="00A160B3"/>
    <w:rsid w:val="00A55F9B"/>
    <w:rsid w:val="00A7625C"/>
    <w:rsid w:val="00A97AF0"/>
    <w:rsid w:val="00AC59C7"/>
    <w:rsid w:val="00AF6BF8"/>
    <w:rsid w:val="00B16929"/>
    <w:rsid w:val="00B40DCC"/>
    <w:rsid w:val="00B6157A"/>
    <w:rsid w:val="00B61BE3"/>
    <w:rsid w:val="00BB403A"/>
    <w:rsid w:val="00BD75AB"/>
    <w:rsid w:val="00BE62DF"/>
    <w:rsid w:val="00C01E24"/>
    <w:rsid w:val="00C14A9A"/>
    <w:rsid w:val="00C17B6C"/>
    <w:rsid w:val="00C2359B"/>
    <w:rsid w:val="00C46FAE"/>
    <w:rsid w:val="00C8784A"/>
    <w:rsid w:val="00CA3A82"/>
    <w:rsid w:val="00CE1051"/>
    <w:rsid w:val="00D36920"/>
    <w:rsid w:val="00D42B56"/>
    <w:rsid w:val="00D5444B"/>
    <w:rsid w:val="00D60EB7"/>
    <w:rsid w:val="00D64F93"/>
    <w:rsid w:val="00DB5C94"/>
    <w:rsid w:val="00DD7A7E"/>
    <w:rsid w:val="00DE02B5"/>
    <w:rsid w:val="00E20211"/>
    <w:rsid w:val="00E51D94"/>
    <w:rsid w:val="00E87731"/>
    <w:rsid w:val="00EC29CD"/>
    <w:rsid w:val="00F2300B"/>
    <w:rsid w:val="00F30760"/>
    <w:rsid w:val="00F50E38"/>
    <w:rsid w:val="00F5219B"/>
    <w:rsid w:val="00F56791"/>
    <w:rsid w:val="00F618F8"/>
    <w:rsid w:val="00F637A7"/>
    <w:rsid w:val="00F87B20"/>
    <w:rsid w:val="00F975B3"/>
    <w:rsid w:val="00FB57C8"/>
    <w:rsid w:val="00FC55E4"/>
    <w:rsid w:val="00FE5E96"/>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845F26F"/>
  <w15:docId w15:val="{07588AD9-4C12-41E1-B08D-1470C6CE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paragraph" w:styleId="NoSpacing">
    <w:name w:val="No Spacing"/>
    <w:uiPriority w:val="1"/>
    <w:qFormat/>
    <w:rsid w:val="00252B89"/>
    <w:rPr>
      <w:lang w:val="lv-LV" w:eastAsia="en-US"/>
    </w:rPr>
  </w:style>
  <w:style w:type="character" w:styleId="Hyperlink">
    <w:name w:val="Hyperlink"/>
    <w:basedOn w:val="DefaultParagraphFont"/>
    <w:uiPriority w:val="99"/>
    <w:unhideWhenUsed/>
    <w:rsid w:val="00236F29"/>
    <w:rPr>
      <w:color w:val="0000FF" w:themeColor="hyperlink"/>
      <w:u w:val="single"/>
    </w:rPr>
  </w:style>
  <w:style w:type="character" w:styleId="CommentReference">
    <w:name w:val="annotation reference"/>
    <w:basedOn w:val="DefaultParagraphFont"/>
    <w:uiPriority w:val="99"/>
    <w:semiHidden/>
    <w:unhideWhenUsed/>
    <w:rsid w:val="00DE02B5"/>
    <w:rPr>
      <w:sz w:val="16"/>
      <w:szCs w:val="16"/>
    </w:rPr>
  </w:style>
  <w:style w:type="paragraph" w:styleId="CommentText">
    <w:name w:val="annotation text"/>
    <w:basedOn w:val="Normal"/>
    <w:link w:val="CommentTextChar"/>
    <w:uiPriority w:val="99"/>
    <w:semiHidden/>
    <w:unhideWhenUsed/>
    <w:rsid w:val="00DE02B5"/>
    <w:pPr>
      <w:spacing w:line="240" w:lineRule="auto"/>
    </w:pPr>
    <w:rPr>
      <w:sz w:val="20"/>
      <w:szCs w:val="20"/>
    </w:rPr>
  </w:style>
  <w:style w:type="character" w:customStyle="1" w:styleId="CommentTextChar">
    <w:name w:val="Comment Text Char"/>
    <w:basedOn w:val="DefaultParagraphFont"/>
    <w:link w:val="CommentText"/>
    <w:uiPriority w:val="99"/>
    <w:semiHidden/>
    <w:rsid w:val="00DE02B5"/>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DE02B5"/>
    <w:rPr>
      <w:b/>
      <w:bCs/>
    </w:rPr>
  </w:style>
  <w:style w:type="character" w:customStyle="1" w:styleId="CommentSubjectChar">
    <w:name w:val="Comment Subject Char"/>
    <w:basedOn w:val="CommentTextChar"/>
    <w:link w:val="CommentSubject"/>
    <w:uiPriority w:val="99"/>
    <w:semiHidden/>
    <w:rsid w:val="00DE02B5"/>
    <w:rPr>
      <w:b/>
      <w:bCs/>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2979</Words>
  <Characters>1699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cp:lastPrinted>2016-05-18T06:25:00Z</cp:lastPrinted>
  <dcterms:created xsi:type="dcterms:W3CDTF">2018-05-24T10:02:00Z</dcterms:created>
  <dcterms:modified xsi:type="dcterms:W3CDTF">2019-07-04T08:16:00Z</dcterms:modified>
</cp:coreProperties>
</file>