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4E" w:rsidRPr="00005E2D" w:rsidRDefault="00A6234E" w:rsidP="00A623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05E2D">
        <w:rPr>
          <w:rFonts w:ascii="Times New Roman" w:eastAsia="Times New Roman" w:hAnsi="Times New Roman"/>
          <w:sz w:val="28"/>
          <w:szCs w:val="28"/>
        </w:rPr>
        <w:t>Valsts policijas koledža</w:t>
      </w:r>
    </w:p>
    <w:p w:rsidR="00A6234E" w:rsidRPr="00005E2D" w:rsidRDefault="00A6234E" w:rsidP="00A6234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</w:p>
    <w:tbl>
      <w:tblPr>
        <w:tblW w:w="91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643"/>
      </w:tblGrid>
      <w:tr w:rsidR="00FE6477" w:rsidRPr="00A6234E" w:rsidTr="00164DD5">
        <w:trPr>
          <w:trHeight w:val="321"/>
        </w:trPr>
        <w:tc>
          <w:tcPr>
            <w:tcW w:w="4536" w:type="dxa"/>
          </w:tcPr>
          <w:p w:rsidR="00FE6477" w:rsidRPr="00A6234E" w:rsidRDefault="00FE6477" w:rsidP="00764F51">
            <w:pPr>
              <w:rPr>
                <w:rFonts w:ascii="Times New Roman" w:hAnsi="Times New Roman"/>
                <w:sz w:val="28"/>
                <w:szCs w:val="28"/>
              </w:rPr>
            </w:pPr>
            <w:r w:rsidRPr="00A6234E">
              <w:rPr>
                <w:rFonts w:ascii="Times New Roman" w:hAnsi="Times New Roman"/>
                <w:sz w:val="28"/>
                <w:szCs w:val="28"/>
              </w:rPr>
              <w:t>Programmas nosaukums</w:t>
            </w:r>
          </w:p>
        </w:tc>
        <w:tc>
          <w:tcPr>
            <w:tcW w:w="4643" w:type="dxa"/>
          </w:tcPr>
          <w:p w:rsidR="00464FEA" w:rsidRPr="00540AFE" w:rsidRDefault="00FB28E8" w:rsidP="00FA3A1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0A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Administratīvā pārkāpuma process</w:t>
            </w:r>
          </w:p>
        </w:tc>
      </w:tr>
      <w:tr w:rsidR="00FE6477" w:rsidRPr="00A6234E" w:rsidTr="00164DD5">
        <w:tc>
          <w:tcPr>
            <w:tcW w:w="4536" w:type="dxa"/>
          </w:tcPr>
          <w:p w:rsidR="00FE6477" w:rsidRPr="00A6234E" w:rsidRDefault="00164DD5" w:rsidP="00764F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="00FE6477" w:rsidRPr="00A6234E">
              <w:rPr>
                <w:rFonts w:ascii="Times New Roman" w:hAnsi="Times New Roman"/>
                <w:sz w:val="28"/>
                <w:szCs w:val="28"/>
              </w:rPr>
              <w:t>rogrammas mērķis</w:t>
            </w:r>
          </w:p>
          <w:p w:rsidR="00FE6477" w:rsidRPr="00A6234E" w:rsidRDefault="00FE6477" w:rsidP="00764F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6477" w:rsidRPr="00A6234E" w:rsidRDefault="00FE6477" w:rsidP="00764F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234E" w:rsidRDefault="00A6234E" w:rsidP="006A7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7F54" w:rsidRDefault="006A7F54" w:rsidP="00601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7F24" w:rsidRDefault="006F7F24" w:rsidP="00601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6477" w:rsidRPr="00A6234E" w:rsidRDefault="00FE6477" w:rsidP="00601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FE6477" w:rsidRPr="00164DD5" w:rsidRDefault="00FA3A17" w:rsidP="00164DD5">
            <w:pPr>
              <w:pStyle w:val="Heading2"/>
              <w:spacing w:before="0" w:after="0"/>
              <w:jc w:val="both"/>
              <w:rPr>
                <w:rFonts w:ascii="Times New Roman" w:hAnsi="Times New Roman"/>
                <w:i w:val="0"/>
                <w:color w:val="000000"/>
              </w:rPr>
            </w:pPr>
            <w:r w:rsidRPr="00540AFE">
              <w:rPr>
                <w:rFonts w:ascii="Times New Roman" w:hAnsi="Times New Roman"/>
                <w:i w:val="0"/>
                <w:color w:val="000000"/>
              </w:rPr>
              <w:t>v</w:t>
            </w:r>
            <w:r w:rsidR="00D579AD" w:rsidRPr="00540AFE">
              <w:rPr>
                <w:rFonts w:ascii="Times New Roman" w:hAnsi="Times New Roman"/>
                <w:i w:val="0"/>
                <w:color w:val="000000"/>
              </w:rPr>
              <w:t xml:space="preserve">eidot </w:t>
            </w:r>
            <w:r w:rsidRPr="00540AFE">
              <w:rPr>
                <w:rFonts w:ascii="Times New Roman" w:hAnsi="Times New Roman"/>
                <w:i w:val="0"/>
                <w:color w:val="000000"/>
              </w:rPr>
              <w:t xml:space="preserve">Valsts policiju </w:t>
            </w:r>
            <w:r w:rsidR="00D579AD" w:rsidRPr="00540AFE">
              <w:rPr>
                <w:rFonts w:ascii="Times New Roman" w:hAnsi="Times New Roman"/>
                <w:i w:val="0"/>
                <w:color w:val="000000"/>
              </w:rPr>
              <w:t xml:space="preserve">amatpersonām priekšstatu </w:t>
            </w:r>
            <w:r w:rsidR="00FB28E8" w:rsidRPr="00540AFE">
              <w:rPr>
                <w:rFonts w:ascii="Times New Roman" w:hAnsi="Times New Roman"/>
                <w:i w:val="0"/>
                <w:color w:val="000000"/>
              </w:rPr>
              <w:t xml:space="preserve">un izpratni </w:t>
            </w:r>
            <w:r w:rsidR="00D579AD" w:rsidRPr="00540AFE">
              <w:rPr>
                <w:rFonts w:ascii="Times New Roman" w:hAnsi="Times New Roman"/>
                <w:i w:val="0"/>
                <w:color w:val="000000"/>
              </w:rPr>
              <w:t xml:space="preserve">par administratīvā pārkāpuma </w:t>
            </w:r>
            <w:r w:rsidR="00FB28E8" w:rsidRPr="00540AFE">
              <w:rPr>
                <w:rFonts w:ascii="Times New Roman" w:hAnsi="Times New Roman"/>
                <w:i w:val="0"/>
                <w:color w:val="000000"/>
              </w:rPr>
              <w:t>procesa realizēšanas tiesiskajiem un praktiskajiem aspektiem,</w:t>
            </w:r>
            <w:r w:rsidRPr="00540AFE">
              <w:rPr>
                <w:rFonts w:ascii="Times New Roman" w:hAnsi="Times New Roman"/>
                <w:i w:val="0"/>
                <w:color w:val="000000"/>
              </w:rPr>
              <w:t xml:space="preserve"> atbilst</w:t>
            </w:r>
            <w:r w:rsidR="00A56099">
              <w:rPr>
                <w:rFonts w:ascii="Times New Roman" w:hAnsi="Times New Roman"/>
                <w:i w:val="0"/>
                <w:color w:val="000000"/>
              </w:rPr>
              <w:t xml:space="preserve">īgi </w:t>
            </w:r>
            <w:r w:rsidRPr="00540AFE">
              <w:rPr>
                <w:rFonts w:ascii="Times New Roman" w:hAnsi="Times New Roman"/>
                <w:i w:val="0"/>
                <w:color w:val="000000"/>
              </w:rPr>
              <w:t>Administratīvās atbildības likumam, un veikt salīdzinošo analīzi tiesību normu realizācijā a</w:t>
            </w:r>
            <w:r w:rsidR="00C972DD" w:rsidRPr="00540AFE">
              <w:rPr>
                <w:rFonts w:ascii="Times New Roman" w:hAnsi="Times New Roman"/>
                <w:i w:val="0"/>
                <w:color w:val="000000"/>
              </w:rPr>
              <w:t>r Latvijas Administra</w:t>
            </w:r>
            <w:r w:rsidR="00164DD5">
              <w:rPr>
                <w:rFonts w:ascii="Times New Roman" w:hAnsi="Times New Roman"/>
                <w:i w:val="0"/>
                <w:color w:val="000000"/>
              </w:rPr>
              <w:t>tīvo pārkāpumu kodeksu</w:t>
            </w:r>
          </w:p>
        </w:tc>
      </w:tr>
      <w:tr w:rsidR="00164DD5" w:rsidRPr="00A6234E" w:rsidTr="00164DD5">
        <w:tc>
          <w:tcPr>
            <w:tcW w:w="4536" w:type="dxa"/>
          </w:tcPr>
          <w:p w:rsidR="00164DD5" w:rsidRPr="00A6234E" w:rsidRDefault="00164DD5" w:rsidP="00164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34E">
              <w:rPr>
                <w:rFonts w:ascii="Times New Roman" w:hAnsi="Times New Roman"/>
                <w:sz w:val="28"/>
                <w:szCs w:val="28"/>
              </w:rPr>
              <w:t>Programmas mērķauditorija</w:t>
            </w:r>
          </w:p>
          <w:p w:rsidR="00164DD5" w:rsidRDefault="00164DD5" w:rsidP="00764F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164DD5" w:rsidRPr="00540AFE" w:rsidRDefault="00164DD5" w:rsidP="00164DD5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  <w:color w:val="000000"/>
              </w:rPr>
            </w:pPr>
            <w:r w:rsidRPr="00540AFE">
              <w:rPr>
                <w:rFonts w:ascii="Times New Roman" w:hAnsi="Times New Roman" w:cs="Times New Roman"/>
                <w:i w:val="0"/>
                <w:color w:val="000000"/>
              </w:rPr>
              <w:t>Valsts policijas amatpersonas, kuras pildot dienesta pienākumus veic administratīvo sodu piemērošanu</w:t>
            </w:r>
          </w:p>
          <w:p w:rsidR="00164DD5" w:rsidRPr="00540AFE" w:rsidRDefault="00164DD5" w:rsidP="00164DD5">
            <w:pPr>
              <w:pStyle w:val="Heading2"/>
              <w:spacing w:before="0" w:after="0"/>
              <w:jc w:val="both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164DD5" w:rsidRPr="00A6234E" w:rsidTr="00164DD5">
        <w:tc>
          <w:tcPr>
            <w:tcW w:w="4536" w:type="dxa"/>
          </w:tcPr>
          <w:p w:rsidR="00164DD5" w:rsidRPr="00A6234E" w:rsidRDefault="00164DD5" w:rsidP="00164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34E">
              <w:rPr>
                <w:rFonts w:ascii="Times New Roman" w:hAnsi="Times New Roman"/>
                <w:sz w:val="28"/>
                <w:szCs w:val="28"/>
              </w:rPr>
              <w:t>Klausītāju skaits</w:t>
            </w:r>
          </w:p>
          <w:p w:rsidR="00164DD5" w:rsidRPr="00A6234E" w:rsidRDefault="00164DD5" w:rsidP="00164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164DD5" w:rsidRPr="00540AFE" w:rsidRDefault="00164DD5" w:rsidP="00164DD5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  <w:color w:val="000000"/>
              </w:rPr>
            </w:pPr>
            <w:r w:rsidRPr="00540AFE">
              <w:rPr>
                <w:rFonts w:ascii="Times New Roman" w:hAnsi="Times New Roman" w:cs="Times New Roman"/>
                <w:i w:val="0"/>
                <w:color w:val="000000"/>
              </w:rPr>
              <w:t>20</w:t>
            </w:r>
          </w:p>
          <w:p w:rsidR="00164DD5" w:rsidRPr="00540AFE" w:rsidRDefault="00164DD5" w:rsidP="00164DD5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  <w:color w:val="000000"/>
              </w:rPr>
            </w:pPr>
          </w:p>
        </w:tc>
      </w:tr>
      <w:tr w:rsidR="00164DD5" w:rsidRPr="00A6234E" w:rsidTr="00164DD5">
        <w:tc>
          <w:tcPr>
            <w:tcW w:w="4536" w:type="dxa"/>
          </w:tcPr>
          <w:p w:rsidR="00164DD5" w:rsidRPr="00A6234E" w:rsidRDefault="00164DD5" w:rsidP="00164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34E">
              <w:rPr>
                <w:rFonts w:ascii="Times New Roman" w:hAnsi="Times New Roman"/>
                <w:sz w:val="28"/>
                <w:szCs w:val="28"/>
              </w:rPr>
              <w:t>Programmas īstenošanas ilgums</w:t>
            </w:r>
          </w:p>
        </w:tc>
        <w:tc>
          <w:tcPr>
            <w:tcW w:w="4643" w:type="dxa"/>
          </w:tcPr>
          <w:p w:rsidR="00164DD5" w:rsidRDefault="00164DD5" w:rsidP="00164DD5">
            <w:pPr>
              <w:pStyle w:val="Heading2"/>
              <w:spacing w:before="0" w:after="0"/>
              <w:jc w:val="both"/>
              <w:rPr>
                <w:rFonts w:ascii="Times New Roman" w:hAnsi="Times New Roman"/>
                <w:bCs w:val="0"/>
                <w:i w:val="0"/>
                <w:iCs w:val="0"/>
                <w:color w:val="000000"/>
              </w:rPr>
            </w:pPr>
            <w:r w:rsidRPr="00164DD5">
              <w:rPr>
                <w:rFonts w:ascii="Times New Roman" w:hAnsi="Times New Roman"/>
                <w:bCs w:val="0"/>
                <w:i w:val="0"/>
                <w:iCs w:val="0"/>
                <w:color w:val="000000"/>
              </w:rPr>
              <w:t>8 akadēmiskās stundas</w:t>
            </w:r>
          </w:p>
          <w:p w:rsidR="00164DD5" w:rsidRPr="00164DD5" w:rsidRDefault="00164DD5" w:rsidP="00164DD5">
            <w:pPr>
              <w:spacing w:after="0" w:line="240" w:lineRule="auto"/>
            </w:pPr>
          </w:p>
        </w:tc>
      </w:tr>
      <w:tr w:rsidR="00FE6477" w:rsidRPr="00A6234E" w:rsidTr="00164DD5">
        <w:tc>
          <w:tcPr>
            <w:tcW w:w="4536" w:type="dxa"/>
          </w:tcPr>
          <w:p w:rsidR="00FE6477" w:rsidRPr="00A6234E" w:rsidRDefault="00FE6477" w:rsidP="00164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34E">
              <w:rPr>
                <w:rFonts w:ascii="Times New Roman" w:hAnsi="Times New Roman"/>
                <w:sz w:val="28"/>
                <w:szCs w:val="28"/>
              </w:rPr>
              <w:t>Programmas izstrādātājs</w:t>
            </w:r>
          </w:p>
        </w:tc>
        <w:tc>
          <w:tcPr>
            <w:tcW w:w="4643" w:type="dxa"/>
          </w:tcPr>
          <w:p w:rsidR="00983534" w:rsidRDefault="00164DD5" w:rsidP="00164DD5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Valsts policijas koledžas </w:t>
            </w:r>
            <w:r w:rsidR="00983534" w:rsidRPr="009E5830">
              <w:rPr>
                <w:rFonts w:ascii="Times New Roman" w:hAnsi="Times New Roman" w:cs="Times New Roman"/>
                <w:i w:val="0"/>
              </w:rPr>
              <w:t xml:space="preserve">Tiesību </w:t>
            </w:r>
            <w:r w:rsidR="00FD0DA8">
              <w:rPr>
                <w:rFonts w:ascii="Times New Roman" w:hAnsi="Times New Roman" w:cs="Times New Roman"/>
                <w:i w:val="0"/>
              </w:rPr>
              <w:t xml:space="preserve">zinātņu </w:t>
            </w:r>
            <w:r>
              <w:rPr>
                <w:rFonts w:ascii="Times New Roman" w:hAnsi="Times New Roman" w:cs="Times New Roman"/>
                <w:i w:val="0"/>
              </w:rPr>
              <w:t>katedra</w:t>
            </w:r>
          </w:p>
          <w:p w:rsidR="00164DD5" w:rsidRPr="00164DD5" w:rsidRDefault="00164DD5" w:rsidP="00164DD5">
            <w:pPr>
              <w:spacing w:after="0" w:line="240" w:lineRule="auto"/>
            </w:pPr>
          </w:p>
        </w:tc>
      </w:tr>
      <w:tr w:rsidR="00FE6477" w:rsidRPr="00A6234E" w:rsidTr="00164DD5">
        <w:tc>
          <w:tcPr>
            <w:tcW w:w="4536" w:type="dxa"/>
          </w:tcPr>
          <w:p w:rsidR="00FE6477" w:rsidRPr="00A6234E" w:rsidRDefault="00FE6477" w:rsidP="00164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34E">
              <w:rPr>
                <w:rFonts w:ascii="Times New Roman" w:hAnsi="Times New Roman"/>
                <w:sz w:val="28"/>
                <w:szCs w:val="28"/>
              </w:rPr>
              <w:t xml:space="preserve">Izglītības dokuments, kas apliecina </w:t>
            </w:r>
          </w:p>
          <w:p w:rsidR="00FE6477" w:rsidRDefault="00FE6477" w:rsidP="00164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34E">
              <w:rPr>
                <w:rFonts w:ascii="Times New Roman" w:hAnsi="Times New Roman"/>
                <w:sz w:val="28"/>
                <w:szCs w:val="28"/>
              </w:rPr>
              <w:t>profesionāl</w:t>
            </w:r>
            <w:r w:rsidR="00164DD5">
              <w:rPr>
                <w:rFonts w:ascii="Times New Roman" w:hAnsi="Times New Roman"/>
                <w:sz w:val="28"/>
                <w:szCs w:val="28"/>
              </w:rPr>
              <w:t>ās izglītības programmas apguvi</w:t>
            </w:r>
          </w:p>
          <w:p w:rsidR="00164DD5" w:rsidRPr="00A6234E" w:rsidRDefault="00164DD5" w:rsidP="00164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FE6477" w:rsidRPr="009E5830" w:rsidRDefault="00FE6477" w:rsidP="00164DD5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</w:rPr>
            </w:pPr>
            <w:r w:rsidRPr="009E5830">
              <w:rPr>
                <w:rFonts w:ascii="Times New Roman" w:hAnsi="Times New Roman" w:cs="Times New Roman"/>
                <w:i w:val="0"/>
              </w:rPr>
              <w:t>apliecība</w:t>
            </w:r>
          </w:p>
        </w:tc>
      </w:tr>
      <w:tr w:rsidR="00FE6477" w:rsidRPr="00A6234E" w:rsidTr="00164DD5">
        <w:tc>
          <w:tcPr>
            <w:tcW w:w="4536" w:type="dxa"/>
          </w:tcPr>
          <w:p w:rsidR="00FE6477" w:rsidRPr="00A6234E" w:rsidRDefault="00FE6477" w:rsidP="00764F51">
            <w:pPr>
              <w:rPr>
                <w:rFonts w:ascii="Times New Roman" w:hAnsi="Times New Roman"/>
                <w:sz w:val="28"/>
                <w:szCs w:val="28"/>
              </w:rPr>
            </w:pPr>
            <w:r w:rsidRPr="00A6234E">
              <w:rPr>
                <w:rFonts w:ascii="Times New Roman" w:hAnsi="Times New Roman"/>
                <w:sz w:val="28"/>
                <w:szCs w:val="28"/>
              </w:rPr>
              <w:t>Nosacījumi dokumenta, kas apliecina programmas apguvi, saņemšanai</w:t>
            </w:r>
          </w:p>
        </w:tc>
        <w:tc>
          <w:tcPr>
            <w:tcW w:w="4643" w:type="dxa"/>
          </w:tcPr>
          <w:p w:rsidR="00FE6477" w:rsidRPr="009E5830" w:rsidRDefault="00FE6477" w:rsidP="00764F51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 w:rsidRPr="009E5830">
              <w:rPr>
                <w:rFonts w:ascii="Times New Roman" w:hAnsi="Times New Roman" w:cs="Times New Roman"/>
                <w:i w:val="0"/>
              </w:rPr>
              <w:t>klausītājs, piedaloties programmas apguvē vismaz 90% apmērā, saņem apliecību</w:t>
            </w:r>
          </w:p>
          <w:p w:rsidR="00FE6477" w:rsidRPr="009E5830" w:rsidRDefault="00FE6477" w:rsidP="00764F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477" w:rsidRPr="00A6234E" w:rsidTr="00164DD5">
        <w:tc>
          <w:tcPr>
            <w:tcW w:w="4536" w:type="dxa"/>
          </w:tcPr>
          <w:p w:rsidR="00FE6477" w:rsidRPr="00A6234E" w:rsidRDefault="00FE6477" w:rsidP="00164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34E">
              <w:rPr>
                <w:rFonts w:ascii="Times New Roman" w:hAnsi="Times New Roman"/>
                <w:sz w:val="28"/>
                <w:szCs w:val="28"/>
              </w:rPr>
              <w:t>Programmas izstrādes gads</w:t>
            </w:r>
          </w:p>
        </w:tc>
        <w:tc>
          <w:tcPr>
            <w:tcW w:w="4643" w:type="dxa"/>
          </w:tcPr>
          <w:p w:rsidR="00FE6477" w:rsidRPr="00164DD5" w:rsidRDefault="00FE6477" w:rsidP="00164DD5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</w:rPr>
            </w:pPr>
            <w:r w:rsidRPr="009E5830">
              <w:rPr>
                <w:rFonts w:ascii="Times New Roman" w:hAnsi="Times New Roman" w:cs="Times New Roman"/>
                <w:i w:val="0"/>
              </w:rPr>
              <w:t>201</w:t>
            </w:r>
            <w:r w:rsidR="0007068F">
              <w:rPr>
                <w:rFonts w:ascii="Times New Roman" w:hAnsi="Times New Roman" w:cs="Times New Roman"/>
                <w:i w:val="0"/>
              </w:rPr>
              <w:t>9</w:t>
            </w:r>
          </w:p>
        </w:tc>
      </w:tr>
      <w:tr w:rsidR="00FE6477" w:rsidRPr="00CA7CEC" w:rsidTr="00164DD5">
        <w:tc>
          <w:tcPr>
            <w:tcW w:w="4536" w:type="dxa"/>
          </w:tcPr>
          <w:p w:rsidR="00783582" w:rsidRDefault="00783582" w:rsidP="00764F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70CF" w:rsidRDefault="004770CF" w:rsidP="00764F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70CF" w:rsidRDefault="004770CF" w:rsidP="00764F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70CF" w:rsidRDefault="004770CF" w:rsidP="00764F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6477" w:rsidRPr="00164DD5" w:rsidRDefault="00164DD5" w:rsidP="00764F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Programmas plāns</w:t>
            </w:r>
          </w:p>
        </w:tc>
        <w:tc>
          <w:tcPr>
            <w:tcW w:w="4643" w:type="dxa"/>
          </w:tcPr>
          <w:p w:rsidR="00FE6477" w:rsidRPr="00CA7CEC" w:rsidRDefault="00FE6477" w:rsidP="00764F5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FE6477" w:rsidRPr="00CA7CEC" w:rsidRDefault="00FE6477" w:rsidP="00FE6477">
      <w:pPr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16"/>
        <w:gridCol w:w="2161"/>
        <w:gridCol w:w="1417"/>
        <w:gridCol w:w="425"/>
        <w:gridCol w:w="475"/>
        <w:gridCol w:w="426"/>
        <w:gridCol w:w="1651"/>
        <w:gridCol w:w="1325"/>
      </w:tblGrid>
      <w:tr w:rsidR="00164DD5" w:rsidRPr="00164DD5" w:rsidTr="004305DB">
        <w:trPr>
          <w:trHeight w:val="70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164DD5" w:rsidRPr="002302F9" w:rsidRDefault="00164DD5" w:rsidP="002F6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2302F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Nr.p.k.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164DD5" w:rsidRPr="002302F9" w:rsidRDefault="00164DD5" w:rsidP="002F6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2302F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Laiks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164DD5" w:rsidRPr="002302F9" w:rsidRDefault="00164DD5" w:rsidP="002F6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2302F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Tēmas nosaukums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64DD5" w:rsidRPr="002302F9" w:rsidRDefault="00164DD5" w:rsidP="002F6321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2302F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Taksonomijas</w:t>
            </w:r>
          </w:p>
          <w:p w:rsidR="00164DD5" w:rsidRPr="002302F9" w:rsidRDefault="00164DD5" w:rsidP="002F6321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2302F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līmenis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164DD5" w:rsidRPr="002302F9" w:rsidRDefault="00164DD5" w:rsidP="002F63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2302F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Akadēmisko stundu skaits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:rsidR="00164DD5" w:rsidRPr="002302F9" w:rsidRDefault="00164DD5" w:rsidP="002F6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2302F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Izmantojamās</w:t>
            </w:r>
          </w:p>
          <w:p w:rsidR="00164DD5" w:rsidRPr="002302F9" w:rsidRDefault="00164DD5" w:rsidP="002F6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2302F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metodes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164DD5" w:rsidRPr="002302F9" w:rsidRDefault="00164DD5" w:rsidP="002F6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2302F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Pedagogs</w:t>
            </w:r>
          </w:p>
        </w:tc>
      </w:tr>
      <w:tr w:rsidR="00FE6477" w:rsidRPr="00164DD5" w:rsidTr="004305DB">
        <w:trPr>
          <w:cantSplit/>
          <w:trHeight w:val="818"/>
        </w:trPr>
        <w:tc>
          <w:tcPr>
            <w:tcW w:w="568" w:type="dxa"/>
            <w:vMerge/>
            <w:shd w:val="clear" w:color="auto" w:fill="auto"/>
            <w:vAlign w:val="center"/>
          </w:tcPr>
          <w:p w:rsidR="00FE6477" w:rsidRPr="00164DD5" w:rsidRDefault="00FE6477" w:rsidP="002F63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FE6477" w:rsidRPr="00164DD5" w:rsidRDefault="00FE6477" w:rsidP="002F63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:rsidR="00FE6477" w:rsidRPr="00164DD5" w:rsidRDefault="00FE6477" w:rsidP="002F63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E6477" w:rsidRPr="00164DD5" w:rsidRDefault="00FE6477" w:rsidP="002F63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E6477" w:rsidRPr="00164DD5" w:rsidRDefault="00FE6477" w:rsidP="002F632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DD5">
              <w:rPr>
                <w:rFonts w:ascii="Times New Roman" w:hAnsi="Times New Roman"/>
                <w:sz w:val="20"/>
                <w:szCs w:val="20"/>
              </w:rPr>
              <w:t>Teorija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E6477" w:rsidRPr="00164DD5" w:rsidRDefault="00983534" w:rsidP="002F632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DD5">
              <w:rPr>
                <w:rFonts w:ascii="Times New Roman" w:hAnsi="Times New Roman"/>
                <w:sz w:val="20"/>
                <w:szCs w:val="20"/>
              </w:rPr>
              <w:t xml:space="preserve">Prakt. </w:t>
            </w:r>
            <w:r w:rsidR="00FE6477" w:rsidRPr="00164DD5">
              <w:rPr>
                <w:rFonts w:ascii="Times New Roman" w:hAnsi="Times New Roman"/>
                <w:sz w:val="20"/>
                <w:szCs w:val="20"/>
              </w:rPr>
              <w:t>darbs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E6477" w:rsidRPr="00164DD5" w:rsidRDefault="00FE6477" w:rsidP="002F632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DD5">
              <w:rPr>
                <w:rFonts w:ascii="Times New Roman" w:hAnsi="Times New Roman"/>
                <w:sz w:val="20"/>
                <w:szCs w:val="20"/>
              </w:rPr>
              <w:t>Kopā</w:t>
            </w:r>
          </w:p>
        </w:tc>
        <w:tc>
          <w:tcPr>
            <w:tcW w:w="1651" w:type="dxa"/>
            <w:vMerge/>
            <w:shd w:val="clear" w:color="auto" w:fill="auto"/>
            <w:vAlign w:val="center"/>
          </w:tcPr>
          <w:p w:rsidR="00FE6477" w:rsidRPr="00164DD5" w:rsidRDefault="00FE6477" w:rsidP="002F63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FE6477" w:rsidRPr="00164DD5" w:rsidRDefault="00FE6477" w:rsidP="002F63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477" w:rsidRPr="00164DD5" w:rsidTr="004305DB">
        <w:tc>
          <w:tcPr>
            <w:tcW w:w="568" w:type="dxa"/>
            <w:shd w:val="clear" w:color="auto" w:fill="auto"/>
            <w:vAlign w:val="center"/>
          </w:tcPr>
          <w:p w:rsidR="00FE6477" w:rsidRPr="00164DD5" w:rsidRDefault="00FE6477" w:rsidP="002F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E6477" w:rsidRPr="00164DD5" w:rsidRDefault="00B60E03" w:rsidP="002F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D5">
              <w:rPr>
                <w:rFonts w:ascii="Times New Roman" w:hAnsi="Times New Roman"/>
                <w:sz w:val="24"/>
                <w:szCs w:val="24"/>
              </w:rPr>
              <w:t>10</w:t>
            </w:r>
            <w:r w:rsidR="00FE6477" w:rsidRPr="00164DD5">
              <w:rPr>
                <w:rFonts w:ascii="Times New Roman" w:hAnsi="Times New Roman"/>
                <w:sz w:val="24"/>
                <w:szCs w:val="24"/>
              </w:rPr>
              <w:t xml:space="preserve">:00 </w:t>
            </w:r>
          </w:p>
          <w:p w:rsidR="00FE6477" w:rsidRPr="00164DD5" w:rsidRDefault="00164DD5" w:rsidP="002F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E6477" w:rsidRPr="00164DD5" w:rsidRDefault="008109C0" w:rsidP="002F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D5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07068F" w:rsidRPr="00164DD5" w:rsidRDefault="0007068F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DD5">
              <w:rPr>
                <w:rFonts w:ascii="Times New Roman" w:hAnsi="Times New Roman"/>
                <w:sz w:val="24"/>
                <w:szCs w:val="24"/>
              </w:rPr>
              <w:t>1.1.</w:t>
            </w:r>
            <w:r w:rsidR="00164DD5">
              <w:rPr>
                <w:rFonts w:ascii="Times New Roman" w:hAnsi="Times New Roman"/>
                <w:sz w:val="24"/>
                <w:szCs w:val="24"/>
              </w:rPr>
              <w:t>Grozījumi tiesiskajā regulējumā, kas attiecināmi</w:t>
            </w:r>
            <w:r w:rsidRPr="00164DD5">
              <w:rPr>
                <w:rFonts w:ascii="Times New Roman" w:hAnsi="Times New Roman"/>
                <w:sz w:val="24"/>
                <w:szCs w:val="24"/>
              </w:rPr>
              <w:t xml:space="preserve"> uz administratīvā pārkāpuma procesa realizāciju.</w:t>
            </w:r>
          </w:p>
          <w:p w:rsidR="0007068F" w:rsidRPr="00164DD5" w:rsidRDefault="0007068F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DD5">
              <w:rPr>
                <w:rFonts w:ascii="Times New Roman" w:hAnsi="Times New Roman"/>
                <w:sz w:val="24"/>
                <w:szCs w:val="24"/>
              </w:rPr>
              <w:t>1.2.</w:t>
            </w:r>
            <w:r w:rsidR="00A3529F" w:rsidRPr="00164DD5">
              <w:rPr>
                <w:rFonts w:ascii="Times New Roman" w:hAnsi="Times New Roman"/>
                <w:sz w:val="24"/>
                <w:szCs w:val="24"/>
              </w:rPr>
              <w:t xml:space="preserve"> Administratīvā pārkāpuma procesa vispārīgs raksturojums</w:t>
            </w:r>
            <w:r w:rsidR="00211B2B" w:rsidRPr="00164D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7F24" w:rsidRPr="00164DD5" w:rsidRDefault="00164DD5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1.3.Administratīvie sodi, to</w:t>
            </w:r>
            <w:r w:rsidR="00A3529F" w:rsidRPr="00164DD5">
              <w:rPr>
                <w:rFonts w:ascii="Times New Roman" w:hAnsi="Times New Roman"/>
                <w:sz w:val="24"/>
                <w:szCs w:val="24"/>
              </w:rPr>
              <w:t xml:space="preserve"> piemērošanas būtība.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DD5" w:rsidRDefault="00164DD5" w:rsidP="002F632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FE6477" w:rsidRPr="00164DD5">
              <w:rPr>
                <w:rFonts w:ascii="Times New Roman" w:hAnsi="Times New Roman"/>
                <w:sz w:val="24"/>
                <w:szCs w:val="24"/>
              </w:rPr>
              <w:t>zpratne</w:t>
            </w:r>
          </w:p>
          <w:p w:rsidR="00FE6477" w:rsidRPr="00164DD5" w:rsidRDefault="00164DD5" w:rsidP="002F632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 </w:t>
            </w:r>
          </w:p>
          <w:p w:rsidR="00FE6477" w:rsidRPr="00164DD5" w:rsidRDefault="00FE6477" w:rsidP="002F632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D5">
              <w:rPr>
                <w:rFonts w:ascii="Times New Roman" w:hAnsi="Times New Roman"/>
                <w:sz w:val="24"/>
                <w:szCs w:val="24"/>
              </w:rPr>
              <w:t>pielieto</w:t>
            </w:r>
            <w:r w:rsidR="00A56099">
              <w:rPr>
                <w:rFonts w:ascii="Times New Roman" w:hAnsi="Times New Roman"/>
                <w:sz w:val="24"/>
                <w:szCs w:val="24"/>
              </w:rPr>
              <w:t>jums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6477" w:rsidRPr="00164DD5" w:rsidRDefault="008109C0" w:rsidP="002F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477" w:rsidRPr="00164DD5" w:rsidRDefault="00A84E0C" w:rsidP="002F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6477" w:rsidRPr="00164DD5" w:rsidRDefault="008109C0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D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E6477" w:rsidRPr="00164DD5" w:rsidRDefault="003B261D" w:rsidP="002F63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D5">
              <w:rPr>
                <w:rFonts w:ascii="Times New Roman" w:hAnsi="Times New Roman"/>
                <w:sz w:val="24"/>
                <w:szCs w:val="24"/>
              </w:rPr>
              <w:t>lekcija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FE6477" w:rsidRPr="00164DD5" w:rsidRDefault="00A56099" w:rsidP="002F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VPK </w:t>
            </w:r>
            <w:r w:rsidR="00123D6B">
              <w:rPr>
                <w:rFonts w:ascii="Times New Roman" w:hAnsi="Times New Roman"/>
                <w:sz w:val="24"/>
                <w:szCs w:val="24"/>
              </w:rPr>
              <w:t>p</w:t>
            </w:r>
            <w:r w:rsidR="00164DD5">
              <w:rPr>
                <w:rFonts w:ascii="Times New Roman" w:hAnsi="Times New Roman"/>
                <w:sz w:val="24"/>
                <w:szCs w:val="24"/>
              </w:rPr>
              <w:t>edagogs vai pieaicināts speciālists</w:t>
            </w:r>
          </w:p>
        </w:tc>
      </w:tr>
      <w:tr w:rsidR="006F7F24" w:rsidRPr="00164DD5" w:rsidTr="004305DB">
        <w:tc>
          <w:tcPr>
            <w:tcW w:w="568" w:type="dxa"/>
            <w:shd w:val="clear" w:color="auto" w:fill="auto"/>
            <w:vAlign w:val="center"/>
          </w:tcPr>
          <w:p w:rsidR="006F7F24" w:rsidRPr="00164DD5" w:rsidRDefault="006F7F24" w:rsidP="002F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D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3D6B" w:rsidRDefault="006F7F24" w:rsidP="002F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D5">
              <w:rPr>
                <w:rFonts w:ascii="Times New Roman" w:hAnsi="Times New Roman"/>
                <w:sz w:val="24"/>
                <w:szCs w:val="24"/>
              </w:rPr>
              <w:t>11:30</w:t>
            </w:r>
            <w:r w:rsidR="0016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D6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4DD5" w:rsidRDefault="00164DD5" w:rsidP="002F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164DD5" w:rsidRDefault="00164DD5" w:rsidP="002F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6B" w:rsidRDefault="00123D6B" w:rsidP="002F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6B" w:rsidRDefault="00164DD5" w:rsidP="002F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13:00 </w:t>
            </w:r>
            <w:r w:rsidR="00123D6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4DD5" w:rsidRDefault="00123D6B" w:rsidP="002F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164DD5" w:rsidRDefault="00164DD5" w:rsidP="002F632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4DD5" w:rsidRDefault="00164DD5" w:rsidP="002F632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7F24" w:rsidRPr="00164DD5" w:rsidRDefault="006F7F24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7F24" w:rsidRPr="00164DD5" w:rsidRDefault="00164DD5" w:rsidP="002F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A3529F" w:rsidRPr="00164DD5" w:rsidRDefault="00A3529F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DD5">
              <w:rPr>
                <w:rFonts w:ascii="Times New Roman" w:hAnsi="Times New Roman"/>
                <w:sz w:val="24"/>
                <w:szCs w:val="24"/>
              </w:rPr>
              <w:t>2.1. Personas, kuras piedalās administratīvā pārkāpuma procesā</w:t>
            </w:r>
            <w:r w:rsidR="00123D6B">
              <w:rPr>
                <w:rFonts w:ascii="Times New Roman" w:hAnsi="Times New Roman"/>
                <w:sz w:val="24"/>
                <w:szCs w:val="24"/>
              </w:rPr>
              <w:t xml:space="preserve">, to </w:t>
            </w:r>
            <w:r w:rsidRPr="00164DD5">
              <w:rPr>
                <w:rFonts w:ascii="Times New Roman" w:hAnsi="Times New Roman"/>
                <w:sz w:val="24"/>
                <w:szCs w:val="24"/>
              </w:rPr>
              <w:t>tiesības un pienākumi.</w:t>
            </w:r>
          </w:p>
          <w:p w:rsidR="00A3529F" w:rsidRPr="00164DD5" w:rsidRDefault="00A3529F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DD5">
              <w:rPr>
                <w:rFonts w:ascii="Times New Roman" w:hAnsi="Times New Roman"/>
                <w:sz w:val="24"/>
                <w:szCs w:val="24"/>
              </w:rPr>
              <w:t>2.2.Procesuālās sankcijas un procesuālie piespiedu līdzekļi.</w:t>
            </w:r>
          </w:p>
          <w:p w:rsidR="00A3529F" w:rsidRPr="00164DD5" w:rsidRDefault="00A3529F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DD5">
              <w:rPr>
                <w:rFonts w:ascii="Times New Roman" w:hAnsi="Times New Roman"/>
                <w:sz w:val="24"/>
                <w:szCs w:val="24"/>
              </w:rPr>
              <w:t>2.3.Procesuālie dokumenti un to veidi.</w:t>
            </w:r>
          </w:p>
          <w:p w:rsidR="00123D6B" w:rsidRDefault="00A3529F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DD5"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  <w:r w:rsidR="00123D6B">
              <w:rPr>
                <w:rFonts w:ascii="Times New Roman" w:hAnsi="Times New Roman"/>
                <w:sz w:val="24"/>
                <w:szCs w:val="24"/>
              </w:rPr>
              <w:t>Izmeklēšanas darbības to veidi.</w:t>
            </w:r>
          </w:p>
          <w:p w:rsidR="001B41A4" w:rsidRPr="00164DD5" w:rsidRDefault="00123D6B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2.5.Izmeklēšanas darbību </w:t>
            </w:r>
            <w:r w:rsidR="00A3529F" w:rsidRPr="00164DD5">
              <w:rPr>
                <w:rFonts w:ascii="Times New Roman" w:hAnsi="Times New Roman"/>
                <w:sz w:val="24"/>
                <w:szCs w:val="24"/>
              </w:rPr>
              <w:t>dokumentēšana un realizācijas kārtība administratīvā pārkāpuma procesā.</w:t>
            </w:r>
            <w:r w:rsidR="00B0530D" w:rsidRPr="0016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2.6.</w:t>
            </w:r>
            <w:r w:rsidR="00B0530D" w:rsidRPr="00164DD5">
              <w:rPr>
                <w:rFonts w:ascii="Times New Roman" w:hAnsi="Times New Roman"/>
                <w:sz w:val="24"/>
                <w:szCs w:val="24"/>
              </w:rPr>
              <w:t>Dokumentēšana e-vidē</w:t>
            </w:r>
            <w:r w:rsidR="004F13FC" w:rsidRPr="00164D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3D6B" w:rsidRPr="00123D6B" w:rsidRDefault="00123D6B" w:rsidP="002F632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6B">
              <w:rPr>
                <w:rFonts w:ascii="Times New Roman" w:hAnsi="Times New Roman"/>
                <w:sz w:val="24"/>
                <w:szCs w:val="24"/>
              </w:rPr>
              <w:t>izpratne</w:t>
            </w:r>
          </w:p>
          <w:p w:rsidR="00123D6B" w:rsidRPr="00123D6B" w:rsidRDefault="00123D6B" w:rsidP="002F632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6B">
              <w:rPr>
                <w:rFonts w:ascii="Times New Roman" w:hAnsi="Times New Roman"/>
                <w:sz w:val="24"/>
                <w:szCs w:val="24"/>
              </w:rPr>
              <w:t xml:space="preserve">un </w:t>
            </w:r>
          </w:p>
          <w:p w:rsidR="006F7F24" w:rsidRPr="00164DD5" w:rsidRDefault="00123D6B" w:rsidP="002F632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6B">
              <w:rPr>
                <w:rFonts w:ascii="Times New Roman" w:hAnsi="Times New Roman"/>
                <w:sz w:val="24"/>
                <w:szCs w:val="24"/>
              </w:rPr>
              <w:t>pielieto</w:t>
            </w:r>
            <w:r w:rsidR="00A56099">
              <w:rPr>
                <w:rFonts w:ascii="Times New Roman" w:hAnsi="Times New Roman"/>
                <w:sz w:val="24"/>
                <w:szCs w:val="24"/>
              </w:rPr>
              <w:t>jums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F24" w:rsidRPr="00164DD5" w:rsidRDefault="002F6321" w:rsidP="002F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7F24" w:rsidRPr="00164DD5" w:rsidRDefault="002F6321" w:rsidP="002F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7F24" w:rsidRPr="00164DD5" w:rsidRDefault="001B41A4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D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123D6B" w:rsidRDefault="00123D6B" w:rsidP="002F63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6F7F24" w:rsidRPr="00164DD5">
              <w:rPr>
                <w:rFonts w:ascii="Times New Roman" w:hAnsi="Times New Roman"/>
                <w:sz w:val="24"/>
                <w:szCs w:val="24"/>
              </w:rPr>
              <w:t>ekcija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3D6B" w:rsidRDefault="00123D6B" w:rsidP="002F63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 </w:t>
            </w:r>
          </w:p>
          <w:p w:rsidR="006F7F24" w:rsidRPr="00164DD5" w:rsidRDefault="001B41A4" w:rsidP="002F63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D5">
              <w:rPr>
                <w:rFonts w:ascii="Times New Roman" w:hAnsi="Times New Roman"/>
                <w:sz w:val="24"/>
                <w:szCs w:val="24"/>
              </w:rPr>
              <w:t>praktisk</w:t>
            </w:r>
            <w:r w:rsidR="00A56099">
              <w:rPr>
                <w:rFonts w:ascii="Times New Roman" w:hAnsi="Times New Roman"/>
                <w:sz w:val="24"/>
                <w:szCs w:val="24"/>
              </w:rPr>
              <w:t>s</w:t>
            </w:r>
            <w:r w:rsidRPr="0016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6099">
              <w:rPr>
                <w:rFonts w:ascii="Times New Roman" w:hAnsi="Times New Roman"/>
                <w:sz w:val="24"/>
                <w:szCs w:val="24"/>
              </w:rPr>
              <w:t>uzdevums</w:t>
            </w:r>
          </w:p>
        </w:tc>
        <w:tc>
          <w:tcPr>
            <w:tcW w:w="1325" w:type="dxa"/>
            <w:shd w:val="clear" w:color="auto" w:fill="auto"/>
          </w:tcPr>
          <w:p w:rsidR="00563087" w:rsidRPr="00164DD5" w:rsidRDefault="00563087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3087" w:rsidRPr="00164DD5" w:rsidRDefault="00563087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3087" w:rsidRPr="00164DD5" w:rsidRDefault="00563087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D6B" w:rsidRDefault="00123D6B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D6B" w:rsidRDefault="00123D6B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D6B" w:rsidRDefault="00123D6B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D6B" w:rsidRDefault="00123D6B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D6B" w:rsidRDefault="00123D6B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D6B" w:rsidRDefault="00123D6B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D6B" w:rsidRDefault="00123D6B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7F24" w:rsidRPr="00164DD5" w:rsidRDefault="005E1067" w:rsidP="002F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67">
              <w:rPr>
                <w:rFonts w:ascii="Times New Roman" w:hAnsi="Times New Roman"/>
                <w:sz w:val="24"/>
                <w:szCs w:val="24"/>
              </w:rPr>
              <w:t xml:space="preserve">VPK </w:t>
            </w:r>
            <w:r w:rsidR="00123D6B" w:rsidRPr="00123D6B">
              <w:rPr>
                <w:rFonts w:ascii="Times New Roman" w:hAnsi="Times New Roman"/>
                <w:sz w:val="24"/>
                <w:szCs w:val="24"/>
              </w:rPr>
              <w:t>pedagogs vai pieaicināts speciālists</w:t>
            </w:r>
          </w:p>
        </w:tc>
      </w:tr>
      <w:tr w:rsidR="006F7F24" w:rsidRPr="00164DD5" w:rsidTr="004305DB">
        <w:tc>
          <w:tcPr>
            <w:tcW w:w="568" w:type="dxa"/>
            <w:shd w:val="clear" w:color="auto" w:fill="auto"/>
            <w:vAlign w:val="center"/>
          </w:tcPr>
          <w:p w:rsidR="006F7F24" w:rsidRPr="00164DD5" w:rsidRDefault="006F7F24" w:rsidP="002F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D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23D6B" w:rsidRDefault="006F7F24" w:rsidP="002F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D5">
              <w:rPr>
                <w:rFonts w:ascii="Times New Roman" w:hAnsi="Times New Roman"/>
                <w:sz w:val="24"/>
                <w:szCs w:val="24"/>
              </w:rPr>
              <w:t>1</w:t>
            </w:r>
            <w:r w:rsidR="00123D6B">
              <w:rPr>
                <w:rFonts w:ascii="Times New Roman" w:hAnsi="Times New Roman"/>
                <w:sz w:val="24"/>
                <w:szCs w:val="24"/>
              </w:rPr>
              <w:t>5:0</w:t>
            </w:r>
            <w:r w:rsidRPr="00164DD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123D6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7F24" w:rsidRPr="00164DD5" w:rsidRDefault="006F7F24" w:rsidP="002F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D5"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6F7F24" w:rsidRPr="00164DD5" w:rsidRDefault="00CF794D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DD5">
              <w:rPr>
                <w:rFonts w:ascii="Times New Roman" w:hAnsi="Times New Roman"/>
                <w:sz w:val="24"/>
                <w:szCs w:val="24"/>
              </w:rPr>
              <w:t>3.1. Administratīvā pārkāpuma lietas uzsākšana.</w:t>
            </w:r>
          </w:p>
          <w:p w:rsidR="00CF794D" w:rsidRPr="00164DD5" w:rsidRDefault="00CF794D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DD5">
              <w:rPr>
                <w:rFonts w:ascii="Times New Roman" w:hAnsi="Times New Roman"/>
                <w:sz w:val="24"/>
                <w:szCs w:val="24"/>
              </w:rPr>
              <w:t>3.2. Administratīvā pārkāpuma lietas sagatavošana izskatīšanai, paziņošana par administratīvā pārkāpuma lietas izskatīšanu.</w:t>
            </w:r>
          </w:p>
          <w:p w:rsidR="00CF794D" w:rsidRDefault="00CF794D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DD5">
              <w:rPr>
                <w:rFonts w:ascii="Times New Roman" w:hAnsi="Times New Roman"/>
                <w:sz w:val="24"/>
                <w:szCs w:val="24"/>
              </w:rPr>
              <w:t xml:space="preserve">3.3. Administratīvā pārkāpuma lietas izskatīšana. </w:t>
            </w:r>
            <w:r w:rsidR="00123D6B">
              <w:rPr>
                <w:rFonts w:ascii="Times New Roman" w:hAnsi="Times New Roman"/>
                <w:sz w:val="24"/>
                <w:szCs w:val="24"/>
              </w:rPr>
              <w:t>3.4.</w:t>
            </w:r>
            <w:r w:rsidRPr="00164DD5">
              <w:rPr>
                <w:rFonts w:ascii="Times New Roman" w:hAnsi="Times New Roman"/>
                <w:sz w:val="24"/>
                <w:szCs w:val="24"/>
              </w:rPr>
              <w:t>Lēmuma pieņemšana administratīvā pārkāpuma lietā.</w:t>
            </w:r>
          </w:p>
          <w:p w:rsidR="002F6321" w:rsidRPr="00164DD5" w:rsidRDefault="002F6321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3.5.Lēmuma pieņemšana par procesuāliem izdevumiem.</w:t>
            </w:r>
          </w:p>
          <w:p w:rsidR="00CF794D" w:rsidRPr="00164DD5" w:rsidRDefault="00CF794D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DD5">
              <w:rPr>
                <w:rFonts w:ascii="Times New Roman" w:hAnsi="Times New Roman"/>
                <w:sz w:val="24"/>
                <w:szCs w:val="24"/>
              </w:rPr>
              <w:t>3.</w:t>
            </w:r>
            <w:r w:rsidR="002F6321">
              <w:rPr>
                <w:rFonts w:ascii="Times New Roman" w:hAnsi="Times New Roman"/>
                <w:sz w:val="24"/>
                <w:szCs w:val="24"/>
              </w:rPr>
              <w:t>6</w:t>
            </w:r>
            <w:r w:rsidRPr="00164DD5">
              <w:rPr>
                <w:rFonts w:ascii="Times New Roman" w:hAnsi="Times New Roman"/>
                <w:sz w:val="24"/>
                <w:szCs w:val="24"/>
              </w:rPr>
              <w:t>.Lēmuma pārsūdzēšana augstākai amatpersonai un tiesai.</w:t>
            </w:r>
          </w:p>
          <w:p w:rsidR="00CF794D" w:rsidRPr="00164DD5" w:rsidRDefault="00123D6B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2F6321">
              <w:rPr>
                <w:rFonts w:ascii="Times New Roman" w:hAnsi="Times New Roman"/>
                <w:sz w:val="24"/>
                <w:szCs w:val="24"/>
              </w:rPr>
              <w:t>7</w:t>
            </w:r>
            <w:r w:rsidR="00CF794D" w:rsidRPr="00164DD5">
              <w:rPr>
                <w:rFonts w:ascii="Times New Roman" w:hAnsi="Times New Roman"/>
                <w:sz w:val="24"/>
                <w:szCs w:val="24"/>
              </w:rPr>
              <w:t>.Lēmuma izpildes tiesiskais regulējums.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7F24" w:rsidRPr="00164DD5" w:rsidRDefault="006F7F24" w:rsidP="002F6321">
            <w:pPr>
              <w:spacing w:after="0" w:line="240" w:lineRule="auto"/>
              <w:ind w:lef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D5">
              <w:rPr>
                <w:rFonts w:ascii="Times New Roman" w:hAnsi="Times New Roman"/>
                <w:sz w:val="24"/>
                <w:szCs w:val="24"/>
              </w:rPr>
              <w:t>izpratne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7F24" w:rsidRPr="00164DD5" w:rsidRDefault="00CD0B98" w:rsidP="002F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7F24" w:rsidRPr="00164DD5" w:rsidRDefault="00123D6B" w:rsidP="002F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7F24" w:rsidRPr="00164DD5" w:rsidRDefault="00CD0B98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D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6F7F24" w:rsidRPr="00164DD5" w:rsidRDefault="006F7F24" w:rsidP="002F63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D5">
              <w:rPr>
                <w:rFonts w:ascii="Times New Roman" w:hAnsi="Times New Roman"/>
                <w:sz w:val="24"/>
                <w:szCs w:val="24"/>
              </w:rPr>
              <w:t>lekcija</w:t>
            </w:r>
          </w:p>
        </w:tc>
        <w:tc>
          <w:tcPr>
            <w:tcW w:w="1325" w:type="dxa"/>
            <w:shd w:val="clear" w:color="auto" w:fill="auto"/>
          </w:tcPr>
          <w:p w:rsidR="00563087" w:rsidRPr="00164DD5" w:rsidRDefault="00563087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3087" w:rsidRPr="00164DD5" w:rsidRDefault="00563087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3087" w:rsidRPr="00164DD5" w:rsidRDefault="00563087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D6B" w:rsidRDefault="00123D6B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D6B" w:rsidRDefault="00123D6B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D6B" w:rsidRDefault="00123D6B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D6B" w:rsidRDefault="00123D6B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D6B" w:rsidRDefault="00123D6B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D6B" w:rsidRDefault="00123D6B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D6B" w:rsidRDefault="00123D6B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D6B" w:rsidRDefault="00123D6B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D6B" w:rsidRDefault="00123D6B" w:rsidP="002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7F24" w:rsidRPr="00164DD5" w:rsidRDefault="005E1067" w:rsidP="002F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067">
              <w:rPr>
                <w:rFonts w:ascii="Times New Roman" w:hAnsi="Times New Roman"/>
                <w:sz w:val="24"/>
                <w:szCs w:val="24"/>
              </w:rPr>
              <w:t xml:space="preserve">VPK </w:t>
            </w:r>
            <w:r w:rsidR="00123D6B" w:rsidRPr="00123D6B">
              <w:rPr>
                <w:rFonts w:ascii="Times New Roman" w:hAnsi="Times New Roman"/>
                <w:sz w:val="24"/>
                <w:szCs w:val="24"/>
              </w:rPr>
              <w:t>pedagogs vai pieaicināts speciālists</w:t>
            </w:r>
          </w:p>
        </w:tc>
      </w:tr>
      <w:tr w:rsidR="008109C0" w:rsidRPr="00164DD5" w:rsidTr="004305DB">
        <w:tc>
          <w:tcPr>
            <w:tcW w:w="4962" w:type="dxa"/>
            <w:gridSpan w:val="4"/>
            <w:shd w:val="clear" w:color="auto" w:fill="auto"/>
            <w:vAlign w:val="center"/>
          </w:tcPr>
          <w:p w:rsidR="008109C0" w:rsidRPr="00164DD5" w:rsidRDefault="008109C0" w:rsidP="002F63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4DD5">
              <w:rPr>
                <w:rFonts w:ascii="Times New Roman" w:hAnsi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09C0" w:rsidRPr="00164DD5" w:rsidRDefault="002F6321" w:rsidP="004305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109C0" w:rsidRPr="00164DD5" w:rsidRDefault="002F6321" w:rsidP="002F6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109C0" w:rsidRPr="00164DD5" w:rsidRDefault="008109C0" w:rsidP="002F6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DD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8109C0" w:rsidRPr="00164DD5" w:rsidRDefault="008109C0" w:rsidP="002F6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109C0" w:rsidRPr="00164DD5" w:rsidRDefault="008109C0" w:rsidP="00FE6477">
      <w:pPr>
        <w:rPr>
          <w:rFonts w:ascii="Times New Roman" w:hAnsi="Times New Roman"/>
          <w:sz w:val="24"/>
          <w:szCs w:val="24"/>
        </w:rPr>
      </w:pPr>
    </w:p>
    <w:p w:rsidR="00CF794D" w:rsidRPr="00164DD5" w:rsidRDefault="00CF794D" w:rsidP="00FE6477">
      <w:pPr>
        <w:rPr>
          <w:rFonts w:ascii="Times New Roman" w:hAnsi="Times New Roman"/>
          <w:sz w:val="24"/>
          <w:szCs w:val="24"/>
        </w:rPr>
      </w:pPr>
    </w:p>
    <w:p w:rsidR="008109C0" w:rsidRPr="00164DD5" w:rsidRDefault="008109C0" w:rsidP="00FE6477">
      <w:pPr>
        <w:rPr>
          <w:rFonts w:ascii="Times New Roman" w:hAnsi="Times New Roman"/>
          <w:sz w:val="24"/>
          <w:szCs w:val="24"/>
        </w:rPr>
      </w:pPr>
    </w:p>
    <w:p w:rsidR="008109C0" w:rsidRPr="00164DD5" w:rsidRDefault="008109C0" w:rsidP="00FE6477">
      <w:pPr>
        <w:rPr>
          <w:rFonts w:ascii="Times New Roman" w:hAnsi="Times New Roman"/>
          <w:sz w:val="24"/>
          <w:szCs w:val="24"/>
        </w:rPr>
      </w:pPr>
    </w:p>
    <w:p w:rsidR="008109C0" w:rsidRPr="009E5830" w:rsidRDefault="008109C0" w:rsidP="00FE6477"/>
    <w:tbl>
      <w:tblPr>
        <w:tblW w:w="10370" w:type="dxa"/>
        <w:tblLayout w:type="fixed"/>
        <w:tblLook w:val="04A0" w:firstRow="1" w:lastRow="0" w:firstColumn="1" w:lastColumn="0" w:noHBand="0" w:noVBand="1"/>
      </w:tblPr>
      <w:tblGrid>
        <w:gridCol w:w="2977"/>
        <w:gridCol w:w="1577"/>
        <w:gridCol w:w="4944"/>
        <w:gridCol w:w="872"/>
      </w:tblGrid>
      <w:tr w:rsidR="008109C0" w:rsidRPr="009E5830" w:rsidTr="004770CF">
        <w:trPr>
          <w:gridAfter w:val="1"/>
          <w:wAfter w:w="872" w:type="dxa"/>
        </w:trPr>
        <w:tc>
          <w:tcPr>
            <w:tcW w:w="2977" w:type="dxa"/>
            <w:shd w:val="clear" w:color="auto" w:fill="auto"/>
          </w:tcPr>
          <w:p w:rsidR="004770CF" w:rsidRDefault="004770CF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09C0" w:rsidRDefault="008109C0" w:rsidP="00FE6477">
            <w:pPr>
              <w:rPr>
                <w:rFonts w:ascii="Times New Roman" w:hAnsi="Times New Roman"/>
                <w:sz w:val="28"/>
                <w:szCs w:val="28"/>
              </w:rPr>
            </w:pPr>
            <w:r w:rsidRPr="009E5830">
              <w:rPr>
                <w:rFonts w:ascii="Times New Roman" w:hAnsi="Times New Roman"/>
                <w:sz w:val="28"/>
                <w:szCs w:val="28"/>
              </w:rPr>
              <w:t>Izmantojamās literatūras un avotu saraksts</w:t>
            </w: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Default="00783582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5DB" w:rsidRDefault="004305DB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5DB" w:rsidRDefault="004305DB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5DB" w:rsidRDefault="004305DB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5DB" w:rsidRDefault="004305DB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5DB" w:rsidRDefault="004305DB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5DB" w:rsidRDefault="004305DB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5DB" w:rsidRDefault="004305DB" w:rsidP="00FE647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4305DB" w:rsidRDefault="004305DB" w:rsidP="00FE64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3582" w:rsidRPr="009E5830" w:rsidRDefault="00783582" w:rsidP="00430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5C02F4" w:rsidRDefault="005C02F4" w:rsidP="005C02F4">
            <w:pPr>
              <w:spacing w:after="0"/>
              <w:rPr>
                <w:rFonts w:ascii="Times New Roman" w:hAnsi="Times New Roman"/>
              </w:rPr>
            </w:pPr>
          </w:p>
          <w:p w:rsidR="004305DB" w:rsidRDefault="009F11B1" w:rsidP="004305DB">
            <w:pPr>
              <w:numPr>
                <w:ilvl w:val="0"/>
                <w:numId w:val="5"/>
              </w:numPr>
              <w:tabs>
                <w:tab w:val="left" w:pos="316"/>
              </w:tabs>
              <w:spacing w:after="0"/>
              <w:ind w:left="316" w:hanging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1B1">
              <w:rPr>
                <w:rFonts w:ascii="Times New Roman" w:hAnsi="Times New Roman"/>
                <w:sz w:val="28"/>
                <w:szCs w:val="28"/>
              </w:rPr>
              <w:t>Latvijas Republikas Satversme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305DB" w:rsidRDefault="009F11B1" w:rsidP="004305DB">
            <w:pPr>
              <w:numPr>
                <w:ilvl w:val="0"/>
                <w:numId w:val="5"/>
              </w:numPr>
              <w:tabs>
                <w:tab w:val="left" w:pos="316"/>
              </w:tabs>
              <w:spacing w:after="0"/>
              <w:ind w:left="316" w:hanging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5DB">
              <w:rPr>
                <w:rFonts w:ascii="Times New Roman" w:hAnsi="Times New Roman"/>
                <w:sz w:val="28"/>
                <w:szCs w:val="28"/>
              </w:rPr>
              <w:t>Administratīvās atbildības likums;</w:t>
            </w:r>
          </w:p>
          <w:p w:rsidR="004305DB" w:rsidRDefault="002F6321" w:rsidP="004305DB">
            <w:pPr>
              <w:numPr>
                <w:ilvl w:val="0"/>
                <w:numId w:val="5"/>
              </w:numPr>
              <w:tabs>
                <w:tab w:val="left" w:pos="316"/>
              </w:tabs>
              <w:spacing w:after="0"/>
              <w:ind w:left="316" w:hanging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5DB">
              <w:rPr>
                <w:rFonts w:ascii="Times New Roman" w:hAnsi="Times New Roman"/>
                <w:sz w:val="28"/>
                <w:szCs w:val="28"/>
              </w:rPr>
              <w:t>likums “Par fizisko personu datu apstrādi kriminālprocesā un administratīvā pārkāpuma procesā”;</w:t>
            </w:r>
          </w:p>
          <w:p w:rsidR="004305DB" w:rsidRDefault="004305DB" w:rsidP="004305DB">
            <w:pPr>
              <w:numPr>
                <w:ilvl w:val="0"/>
                <w:numId w:val="5"/>
              </w:numPr>
              <w:tabs>
                <w:tab w:val="left" w:pos="316"/>
              </w:tabs>
              <w:spacing w:after="0"/>
              <w:ind w:left="316" w:hanging="3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</w:t>
            </w:r>
            <w:r w:rsidR="009F11B1" w:rsidRPr="004305DB">
              <w:rPr>
                <w:rFonts w:ascii="Times New Roman" w:hAnsi="Times New Roman"/>
                <w:sz w:val="28"/>
                <w:szCs w:val="28"/>
              </w:rPr>
              <w:t>izisko personu datu apstrādes likums;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05DB" w:rsidRDefault="004305DB" w:rsidP="004305DB">
            <w:pPr>
              <w:numPr>
                <w:ilvl w:val="0"/>
                <w:numId w:val="5"/>
              </w:numPr>
              <w:tabs>
                <w:tab w:val="left" w:pos="316"/>
              </w:tabs>
              <w:spacing w:after="0"/>
              <w:ind w:left="316" w:hanging="3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="00E45407" w:rsidRPr="004305DB">
              <w:rPr>
                <w:rFonts w:ascii="Times New Roman" w:hAnsi="Times New Roman"/>
                <w:sz w:val="28"/>
                <w:szCs w:val="28"/>
              </w:rPr>
              <w:t>esu ekspertu likums;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05DB" w:rsidRDefault="004305DB" w:rsidP="004305DB">
            <w:pPr>
              <w:numPr>
                <w:ilvl w:val="0"/>
                <w:numId w:val="5"/>
              </w:numPr>
              <w:tabs>
                <w:tab w:val="left" w:pos="316"/>
              </w:tabs>
              <w:spacing w:after="0"/>
              <w:ind w:left="316" w:hanging="3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Pr="004305DB">
              <w:rPr>
                <w:rFonts w:ascii="Times New Roman" w:hAnsi="Times New Roman"/>
                <w:sz w:val="28"/>
                <w:szCs w:val="28"/>
              </w:rPr>
              <w:t>aziņošanas</w:t>
            </w:r>
            <w:r w:rsidR="00E45407" w:rsidRPr="004305DB">
              <w:rPr>
                <w:rFonts w:ascii="Times New Roman" w:hAnsi="Times New Roman"/>
                <w:sz w:val="28"/>
                <w:szCs w:val="28"/>
              </w:rPr>
              <w:t xml:space="preserve"> likums;</w:t>
            </w:r>
          </w:p>
          <w:p w:rsidR="00E45407" w:rsidRPr="004305DB" w:rsidRDefault="004305DB" w:rsidP="004305DB">
            <w:pPr>
              <w:numPr>
                <w:ilvl w:val="0"/>
                <w:numId w:val="5"/>
              </w:numPr>
              <w:tabs>
                <w:tab w:val="left" w:pos="316"/>
              </w:tabs>
              <w:spacing w:after="0"/>
              <w:ind w:left="316" w:hanging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5DB">
              <w:rPr>
                <w:rFonts w:ascii="Times New Roman" w:hAnsi="Times New Roman"/>
                <w:sz w:val="28"/>
                <w:szCs w:val="28"/>
              </w:rPr>
              <w:t>M</w:t>
            </w:r>
            <w:r w:rsidR="00E45407" w:rsidRPr="004305DB">
              <w:rPr>
                <w:rFonts w:ascii="Times New Roman" w:hAnsi="Times New Roman"/>
                <w:sz w:val="28"/>
                <w:szCs w:val="28"/>
              </w:rPr>
              <w:t xml:space="preserve">aksājumu pakalpojumu un elektroniskās naudas likums; </w:t>
            </w:r>
          </w:p>
          <w:p w:rsidR="00E45407" w:rsidRDefault="00E45407" w:rsidP="004305DB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Kriminālprocesa likums;</w:t>
            </w:r>
          </w:p>
          <w:p w:rsidR="00E45407" w:rsidRDefault="00E45407" w:rsidP="004305DB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Dizainparaugu likums;</w:t>
            </w:r>
          </w:p>
          <w:p w:rsidR="00E45407" w:rsidRDefault="00E45407" w:rsidP="004305DB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Autoceļu lietošanas nodevas likums;</w:t>
            </w:r>
          </w:p>
          <w:p w:rsidR="009F11B1" w:rsidRPr="009F11B1" w:rsidRDefault="009F11B1" w:rsidP="009F11B1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1B1">
              <w:rPr>
                <w:rFonts w:ascii="Times New Roman" w:hAnsi="Times New Roman"/>
                <w:sz w:val="28"/>
                <w:szCs w:val="28"/>
              </w:rPr>
              <w:t>Ieroču aprites likums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11B1" w:rsidRPr="009F11B1" w:rsidRDefault="009F11B1" w:rsidP="009F11B1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1B1">
              <w:rPr>
                <w:rFonts w:ascii="Times New Roman" w:hAnsi="Times New Roman"/>
                <w:sz w:val="28"/>
                <w:szCs w:val="28"/>
              </w:rPr>
              <w:t>Dokumentu juridiskā spēka likums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11B1" w:rsidRPr="009F11B1" w:rsidRDefault="009F11B1" w:rsidP="009F11B1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1B1">
              <w:rPr>
                <w:rFonts w:ascii="Times New Roman" w:hAnsi="Times New Roman"/>
                <w:sz w:val="28"/>
                <w:szCs w:val="28"/>
              </w:rPr>
              <w:t>Alkoholisko dzērienu aprites likums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11B1" w:rsidRPr="009F11B1" w:rsidRDefault="009F11B1" w:rsidP="009F11B1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1B1">
              <w:rPr>
                <w:rFonts w:ascii="Times New Roman" w:hAnsi="Times New Roman"/>
                <w:sz w:val="28"/>
                <w:szCs w:val="28"/>
              </w:rPr>
              <w:t>Valsts pārvaldes iekārtas likums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11B1" w:rsidRPr="009F11B1" w:rsidRDefault="009F11B1" w:rsidP="009F11B1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1B1">
              <w:rPr>
                <w:rFonts w:ascii="Times New Roman" w:hAnsi="Times New Roman"/>
                <w:sz w:val="28"/>
                <w:szCs w:val="28"/>
              </w:rPr>
              <w:t>Dzīvesvietas deklarēšanas likums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11B1" w:rsidRPr="009F11B1" w:rsidRDefault="00A56099" w:rsidP="009F11B1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 w:rsidR="009F11B1" w:rsidRPr="009F11B1">
              <w:rPr>
                <w:rFonts w:ascii="Times New Roman" w:hAnsi="Times New Roman"/>
                <w:sz w:val="28"/>
                <w:szCs w:val="28"/>
              </w:rPr>
              <w:t>ikums „Par interešu konflikta novēršanu valsts amatpersonu darbībā</w:t>
            </w:r>
            <w:r w:rsidR="009F11B1">
              <w:rPr>
                <w:rFonts w:ascii="Times New Roman" w:hAnsi="Times New Roman"/>
                <w:sz w:val="28"/>
                <w:szCs w:val="28"/>
              </w:rPr>
              <w:t>”;</w:t>
            </w:r>
          </w:p>
          <w:p w:rsidR="009F11B1" w:rsidRDefault="009F11B1" w:rsidP="009F11B1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1B1">
              <w:rPr>
                <w:rFonts w:ascii="Times New Roman" w:hAnsi="Times New Roman"/>
                <w:sz w:val="28"/>
                <w:szCs w:val="28"/>
              </w:rPr>
              <w:t xml:space="preserve">Informācijas atklātības likums; </w:t>
            </w:r>
          </w:p>
          <w:p w:rsidR="009F11B1" w:rsidRPr="009F11B1" w:rsidRDefault="009F11B1" w:rsidP="009F11B1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1B1">
              <w:rPr>
                <w:rFonts w:ascii="Times New Roman" w:hAnsi="Times New Roman"/>
                <w:sz w:val="28"/>
                <w:szCs w:val="28"/>
              </w:rPr>
              <w:t>Bērnu tiesību aizsardzības likums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11B1" w:rsidRPr="009F11B1" w:rsidRDefault="002A54AE" w:rsidP="009F11B1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 w:rsidR="009F11B1" w:rsidRPr="009F11B1">
              <w:rPr>
                <w:rFonts w:ascii="Times New Roman" w:hAnsi="Times New Roman"/>
                <w:sz w:val="28"/>
                <w:szCs w:val="28"/>
              </w:rPr>
              <w:t>ikums "Par sapulcēm, gājieniem un piketiem</w:t>
            </w:r>
            <w:r w:rsidR="009F11B1">
              <w:rPr>
                <w:rFonts w:ascii="Times New Roman" w:hAnsi="Times New Roman"/>
                <w:sz w:val="28"/>
                <w:szCs w:val="28"/>
              </w:rPr>
              <w:t>”;</w:t>
            </w:r>
          </w:p>
          <w:p w:rsidR="009F11B1" w:rsidRPr="009F11B1" w:rsidRDefault="009F11B1" w:rsidP="009F11B1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1B1">
              <w:rPr>
                <w:rFonts w:ascii="Times New Roman" w:hAnsi="Times New Roman"/>
                <w:sz w:val="28"/>
                <w:szCs w:val="28"/>
              </w:rPr>
              <w:t>Ceļu satiksmes likums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11B1" w:rsidRPr="009F11B1" w:rsidRDefault="009F11B1" w:rsidP="009F11B1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1B1">
              <w:rPr>
                <w:rFonts w:ascii="Times New Roman" w:hAnsi="Times New Roman"/>
                <w:sz w:val="28"/>
                <w:szCs w:val="28"/>
              </w:rPr>
              <w:t>Auto</w:t>
            </w:r>
            <w:r>
              <w:rPr>
                <w:rFonts w:ascii="Times New Roman" w:hAnsi="Times New Roman"/>
                <w:sz w:val="28"/>
                <w:szCs w:val="28"/>
              </w:rPr>
              <w:t>pārvadājumu likums;</w:t>
            </w:r>
          </w:p>
          <w:p w:rsidR="009F11B1" w:rsidRPr="009F11B1" w:rsidRDefault="00A56099" w:rsidP="009F11B1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 w:rsidR="009F11B1" w:rsidRPr="009F11B1">
              <w:rPr>
                <w:rFonts w:ascii="Times New Roman" w:hAnsi="Times New Roman"/>
                <w:sz w:val="28"/>
                <w:szCs w:val="28"/>
              </w:rPr>
              <w:t>ikums "Par pašvaldībām</w:t>
            </w:r>
            <w:r w:rsidR="009F11B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305DB" w:rsidRDefault="00A56099" w:rsidP="004305DB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 w:rsidR="009F11B1" w:rsidRPr="009F11B1">
              <w:rPr>
                <w:rFonts w:ascii="Times New Roman" w:hAnsi="Times New Roman"/>
                <w:sz w:val="28"/>
                <w:szCs w:val="28"/>
              </w:rPr>
              <w:t>ikums "Par policiju</w:t>
            </w:r>
            <w:r w:rsidR="009F11B1">
              <w:rPr>
                <w:rFonts w:ascii="Times New Roman" w:hAnsi="Times New Roman"/>
                <w:sz w:val="28"/>
                <w:szCs w:val="28"/>
              </w:rPr>
              <w:t>”</w:t>
            </w:r>
            <w:r w:rsidR="002F632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305DB" w:rsidRDefault="002F6321" w:rsidP="004305DB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5DB">
              <w:rPr>
                <w:rFonts w:ascii="Times New Roman" w:hAnsi="Times New Roman"/>
                <w:sz w:val="28"/>
                <w:szCs w:val="28"/>
              </w:rPr>
              <w:t xml:space="preserve">Ministru kabineta noteikumi 2019.gada 24.septembra noteikumi  Nr. 446 “Noteikumi par īpašas formas apliecinājumu administratīvā pārkāpuma procesā”; </w:t>
            </w:r>
          </w:p>
          <w:p w:rsidR="004305DB" w:rsidRDefault="009F11B1" w:rsidP="004305DB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5DB">
              <w:rPr>
                <w:rFonts w:ascii="Times New Roman" w:hAnsi="Times New Roman"/>
                <w:sz w:val="28"/>
                <w:szCs w:val="28"/>
              </w:rPr>
              <w:t>Ministru kabineta 2018.gada 27.novembra noteikumi Nr.719 “Kārtība, kādā nosaka alkohola koncentrāciju asinīs un izelpotajā gaisā un konstatē narkotisko vai citu apreibinošo vielu ietekmi”;</w:t>
            </w:r>
          </w:p>
          <w:p w:rsidR="004305DB" w:rsidRDefault="009F11B1" w:rsidP="004305DB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5DB">
              <w:rPr>
                <w:rFonts w:ascii="Times New Roman" w:hAnsi="Times New Roman"/>
                <w:sz w:val="28"/>
                <w:szCs w:val="28"/>
              </w:rPr>
              <w:t>Ministru kabineta 2015.gada 2.jūnija noteikumi Nr.279 “Ceļu satiksmes noteikumi”;</w:t>
            </w:r>
          </w:p>
          <w:p w:rsidR="004305DB" w:rsidRDefault="009F11B1" w:rsidP="004305DB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5DB">
              <w:rPr>
                <w:rFonts w:ascii="Times New Roman" w:hAnsi="Times New Roman"/>
                <w:sz w:val="28"/>
                <w:szCs w:val="28"/>
              </w:rPr>
              <w:t>Ministru kabineta 2011.gada 27.decembra noteikumi Nr.1001 “Ieroču un munīcijas iegādāšanās, reģistrēšanas, uzskaites, glabāšanas, pārvadāšanas, pārsūtīšanas, nēsāšanas, realizēšanas un ieroču kolekciju glabāšanas noteikumi”;</w:t>
            </w:r>
          </w:p>
          <w:p w:rsidR="004305DB" w:rsidRDefault="009F11B1" w:rsidP="004305DB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5DB">
              <w:rPr>
                <w:rFonts w:ascii="Times New Roman" w:hAnsi="Times New Roman"/>
                <w:sz w:val="28"/>
                <w:szCs w:val="28"/>
              </w:rPr>
              <w:t>Ministru kabineta 2011.gada 27.decembra noteikumi Nr.1011 “Ieroču atļauju noteikumi, kā arī ieroču izņemšanas un iznīcināšanas kārtība”;</w:t>
            </w:r>
          </w:p>
          <w:p w:rsidR="004305DB" w:rsidRDefault="009F11B1" w:rsidP="004305DB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5DB">
              <w:rPr>
                <w:rFonts w:ascii="Times New Roman" w:hAnsi="Times New Roman"/>
                <w:sz w:val="28"/>
                <w:szCs w:val="28"/>
              </w:rPr>
              <w:lastRenderedPageBreak/>
              <w:t>Ministru kabineta 2011.gada 6.decembra noteikumi Nr.928 “Noteikumi par ieroču, munīcijas un speciālo līdzekļu komerciālo apriti un ieroču un munīcijas marķēšanas kārtību”;</w:t>
            </w:r>
          </w:p>
          <w:p w:rsidR="004305DB" w:rsidRDefault="009F11B1" w:rsidP="004305DB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5DB">
              <w:rPr>
                <w:rFonts w:ascii="Times New Roman" w:hAnsi="Times New Roman"/>
                <w:sz w:val="28"/>
                <w:szCs w:val="28"/>
              </w:rPr>
              <w:t>Ministru kabineta 2011.gada 18.janvāra noteikumi Nr.55 “Noteikumi par speciālo līdzekļu veidiem un to lietošanas kārtību”;</w:t>
            </w:r>
          </w:p>
          <w:p w:rsidR="004305DB" w:rsidRDefault="009F11B1" w:rsidP="004305DB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5DB">
              <w:rPr>
                <w:rFonts w:ascii="Times New Roman" w:hAnsi="Times New Roman"/>
                <w:sz w:val="28"/>
                <w:szCs w:val="28"/>
              </w:rPr>
              <w:t>Ministru kabineta 2008.gada 2.februāra noteikumi Nr.394 “Alkohola, narkotisko, psihotropo vai toksisko vielu ietekmes pārbaudes kārtība”;</w:t>
            </w:r>
          </w:p>
          <w:p w:rsidR="004305DB" w:rsidRDefault="009F11B1" w:rsidP="004305DB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5DB">
              <w:rPr>
                <w:rFonts w:ascii="Times New Roman" w:hAnsi="Times New Roman"/>
                <w:sz w:val="28"/>
                <w:szCs w:val="28"/>
              </w:rPr>
              <w:t>Ministru kabineta 2005.gada 18.janvāra  noteikumi Nr.46 “Valsts policijas nolikums”;</w:t>
            </w:r>
          </w:p>
          <w:p w:rsidR="004305DB" w:rsidRDefault="002F6321" w:rsidP="004305DB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5DB">
              <w:rPr>
                <w:rFonts w:ascii="Times New Roman" w:hAnsi="Times New Roman"/>
                <w:sz w:val="28"/>
                <w:szCs w:val="28"/>
              </w:rPr>
              <w:t xml:space="preserve">Ministru kabineta </w:t>
            </w:r>
            <w:r w:rsidR="00DD0B59" w:rsidRPr="004305DB">
              <w:rPr>
                <w:rFonts w:ascii="Times New Roman" w:hAnsi="Times New Roman"/>
                <w:sz w:val="28"/>
                <w:szCs w:val="28"/>
              </w:rPr>
              <w:t>noteikumu</w:t>
            </w:r>
            <w:r w:rsidRPr="004305DB">
              <w:rPr>
                <w:rFonts w:ascii="Times New Roman" w:hAnsi="Times New Roman"/>
                <w:sz w:val="28"/>
                <w:szCs w:val="28"/>
              </w:rPr>
              <w:t xml:space="preserve"> projekts "Administratīvā pārkāpuma procesā radušos procesuālo izdevumu segšanas not</w:t>
            </w:r>
            <w:r w:rsidRPr="00844D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eikumi": pieejams </w:t>
            </w:r>
            <w:hyperlink r:id="rId8" w:history="1">
              <w:r w:rsidR="004305DB" w:rsidRPr="00844DA6">
                <w:rPr>
                  <w:rStyle w:val="Hyperlink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http://tap.mk.gov.lv/mk/tap/?pid=404712</w:t>
              </w:r>
            </w:hyperlink>
            <w:r w:rsidR="00DD0B59" w:rsidRPr="00844DA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4305DB" w:rsidRDefault="009F11B1" w:rsidP="004305DB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5DB">
              <w:rPr>
                <w:rFonts w:ascii="Times New Roman" w:hAnsi="Times New Roman"/>
                <w:sz w:val="28"/>
                <w:szCs w:val="28"/>
              </w:rPr>
              <w:t xml:space="preserve">Valsts policijas 2013.gada 30.janvāra pavēle  Nr.312 “Par vadlīnijām lietderības apsvērumu izvērtēšanai un soda noteikšanai administratīvo pārkāpumu lietās”; </w:t>
            </w:r>
          </w:p>
          <w:p w:rsidR="004305DB" w:rsidRDefault="009F11B1" w:rsidP="004305DB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5DB">
              <w:rPr>
                <w:rFonts w:ascii="Times New Roman" w:hAnsi="Times New Roman"/>
                <w:sz w:val="28"/>
                <w:szCs w:val="28"/>
              </w:rPr>
              <w:t>Fjodorovs, J. Administratīvā pārkāpuma lietvedības uzsākšanas probl</w:t>
            </w:r>
            <w:r w:rsidR="002A54AE" w:rsidRPr="004305DB">
              <w:rPr>
                <w:rFonts w:ascii="Times New Roman" w:hAnsi="Times New Roman"/>
                <w:sz w:val="28"/>
                <w:szCs w:val="28"/>
              </w:rPr>
              <w:t>e</w:t>
            </w:r>
            <w:r w:rsidRPr="004305DB">
              <w:rPr>
                <w:rFonts w:ascii="Times New Roman" w:hAnsi="Times New Roman"/>
                <w:sz w:val="28"/>
                <w:szCs w:val="28"/>
              </w:rPr>
              <w:t>m</w:t>
            </w:r>
            <w:r w:rsidR="002A54AE" w:rsidRPr="004305DB">
              <w:rPr>
                <w:rFonts w:ascii="Times New Roman" w:hAnsi="Times New Roman"/>
                <w:sz w:val="28"/>
                <w:szCs w:val="28"/>
              </w:rPr>
              <w:t>ā</w:t>
            </w:r>
            <w:r w:rsidRPr="004305DB">
              <w:rPr>
                <w:rFonts w:ascii="Times New Roman" w:hAnsi="Times New Roman"/>
                <w:sz w:val="28"/>
                <w:szCs w:val="28"/>
              </w:rPr>
              <w:t>tika. // Valsts policijas koledžas V Starptautiskās zinātniskās konferences “Valsts iekšējās drošības 100 gadu ev</w:t>
            </w:r>
            <w:r w:rsidR="002A54AE" w:rsidRPr="004305DB">
              <w:rPr>
                <w:rFonts w:ascii="Times New Roman" w:hAnsi="Times New Roman"/>
                <w:sz w:val="28"/>
                <w:szCs w:val="28"/>
              </w:rPr>
              <w:t>o</w:t>
            </w:r>
            <w:r w:rsidRPr="004305DB">
              <w:rPr>
                <w:rFonts w:ascii="Times New Roman" w:hAnsi="Times New Roman"/>
                <w:sz w:val="28"/>
                <w:szCs w:val="28"/>
              </w:rPr>
              <w:t>lūcija. Attīstība. Dinamika. Probl</w:t>
            </w:r>
            <w:r w:rsidR="002A54AE" w:rsidRPr="004305DB">
              <w:rPr>
                <w:rFonts w:ascii="Times New Roman" w:hAnsi="Times New Roman"/>
                <w:sz w:val="28"/>
                <w:szCs w:val="28"/>
              </w:rPr>
              <w:t>e</w:t>
            </w:r>
            <w:r w:rsidRPr="004305DB">
              <w:rPr>
                <w:rFonts w:ascii="Times New Roman" w:hAnsi="Times New Roman"/>
                <w:sz w:val="28"/>
                <w:szCs w:val="28"/>
              </w:rPr>
              <w:t>m</w:t>
            </w:r>
            <w:r w:rsidR="002A54AE" w:rsidRPr="004305DB">
              <w:rPr>
                <w:rFonts w:ascii="Times New Roman" w:hAnsi="Times New Roman"/>
                <w:sz w:val="28"/>
                <w:szCs w:val="28"/>
              </w:rPr>
              <w:t>ā</w:t>
            </w:r>
            <w:r w:rsidRPr="004305DB">
              <w:rPr>
                <w:rFonts w:ascii="Times New Roman" w:hAnsi="Times New Roman"/>
                <w:sz w:val="28"/>
                <w:szCs w:val="28"/>
              </w:rPr>
              <w:t>tika” materiāli. Rīga, 2018, 171.-180.lpp.</w:t>
            </w:r>
            <w:r w:rsidR="004305D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305DB" w:rsidRDefault="009F11B1" w:rsidP="004305DB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5DB">
              <w:rPr>
                <w:rFonts w:ascii="Times New Roman" w:hAnsi="Times New Roman"/>
                <w:sz w:val="28"/>
                <w:szCs w:val="28"/>
              </w:rPr>
              <w:t>Ulpis, A. Pasākumi administratīvo pārkāpumu lietu lietvedības nodrošināšanai. Realizācijas problēmas un juridiskas sekas.// Valsts policijas koledžas V Starptautiskās zinātniskās konferences “Valsts iek</w:t>
            </w:r>
            <w:r w:rsidR="002A54AE" w:rsidRPr="004305DB">
              <w:rPr>
                <w:rFonts w:ascii="Times New Roman" w:hAnsi="Times New Roman"/>
                <w:sz w:val="28"/>
                <w:szCs w:val="28"/>
              </w:rPr>
              <w:t>š</w:t>
            </w:r>
            <w:r w:rsidRPr="004305DB">
              <w:rPr>
                <w:rFonts w:ascii="Times New Roman" w:hAnsi="Times New Roman"/>
                <w:sz w:val="28"/>
                <w:szCs w:val="28"/>
              </w:rPr>
              <w:t xml:space="preserve">ējās drošības 100 gadu evolūcija. Attīstība. Dinamika. </w:t>
            </w:r>
            <w:r w:rsidR="00DD0B59" w:rsidRPr="004305DB">
              <w:rPr>
                <w:rFonts w:ascii="Times New Roman" w:hAnsi="Times New Roman"/>
                <w:sz w:val="28"/>
                <w:szCs w:val="28"/>
              </w:rPr>
              <w:t>Problemātika</w:t>
            </w:r>
            <w:r w:rsidRPr="004305DB">
              <w:rPr>
                <w:rFonts w:ascii="Times New Roman" w:hAnsi="Times New Roman"/>
                <w:sz w:val="28"/>
                <w:szCs w:val="28"/>
              </w:rPr>
              <w:t>” materiāli. Rīga, 2018, 63.-71.lpp.</w:t>
            </w:r>
            <w:r w:rsidR="004305DB" w:rsidRPr="004305D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305DB" w:rsidRDefault="009F11B1" w:rsidP="004305DB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5DB">
              <w:rPr>
                <w:rFonts w:ascii="Times New Roman" w:hAnsi="Times New Roman"/>
                <w:sz w:val="28"/>
                <w:szCs w:val="28"/>
              </w:rPr>
              <w:t xml:space="preserve">Fjodorovs, J. Interrogation of persons in administrative violation cases.// Daugavpils </w:t>
            </w:r>
            <w:r w:rsidRPr="004305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universitātes 58. starptautiskās zinātniskās konferences rakstu krājums. Daugavpils, 2016, 81.-87.lpp. Pieejams: </w:t>
            </w:r>
            <w:hyperlink r:id="rId9" w:history="1">
              <w:r w:rsidR="004305DB" w:rsidRPr="00844DA6">
                <w:rPr>
                  <w:rStyle w:val="Hyperlink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https://dukonference.lv/files/proceedings_of_conf/978-9984-14-779-6_58%20konf%20kraj_B_Soc%20zin.pdf</w:t>
              </w:r>
            </w:hyperlink>
            <w:r w:rsidR="004305DB" w:rsidRPr="00844DA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4305DB" w:rsidRDefault="009F11B1" w:rsidP="004305DB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5DB">
              <w:rPr>
                <w:rFonts w:ascii="Times New Roman" w:hAnsi="Times New Roman"/>
                <w:sz w:val="28"/>
                <w:szCs w:val="28"/>
              </w:rPr>
              <w:t xml:space="preserve">Danovskis, E. Kāds būs administratīvās atbildības jaunais regulējums. Pieejams: </w:t>
            </w:r>
            <w:hyperlink r:id="rId10" w:history="1">
              <w:r w:rsidR="004305DB" w:rsidRPr="00844DA6">
                <w:rPr>
                  <w:rStyle w:val="Hyperlink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https://www.juristavards.lv/doc/274085-kads-bus-administrativas-atbildibas-jaunais-regulejums</w:t>
              </w:r>
            </w:hyperlink>
            <w:r w:rsidR="004305DB" w:rsidRPr="00844DA6">
              <w:rPr>
                <w:rFonts w:ascii="Times New Roman" w:hAnsi="Times New Roman"/>
                <w:color w:val="000000"/>
                <w:sz w:val="28"/>
                <w:szCs w:val="28"/>
              </w:rPr>
              <w:t>?;</w:t>
            </w:r>
          </w:p>
          <w:p w:rsidR="004305DB" w:rsidRPr="00844DA6" w:rsidRDefault="009F11B1" w:rsidP="004305DB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5DB">
              <w:rPr>
                <w:rFonts w:ascii="Times New Roman" w:hAnsi="Times New Roman"/>
                <w:sz w:val="28"/>
                <w:szCs w:val="28"/>
              </w:rPr>
              <w:t xml:space="preserve">Fjodorovs, J. Administratīvā pārkāpuma lietvedības procesuālie principi.// </w:t>
            </w:r>
            <w:r w:rsidR="000D79DF" w:rsidRPr="004305DB">
              <w:rPr>
                <w:rFonts w:ascii="Times New Roman" w:hAnsi="Times New Roman"/>
                <w:sz w:val="28"/>
                <w:szCs w:val="28"/>
              </w:rPr>
              <w:t>Daugavpils Universitātes</w:t>
            </w:r>
            <w:r w:rsidRPr="004305DB">
              <w:rPr>
                <w:rFonts w:ascii="Times New Roman" w:hAnsi="Times New Roman"/>
                <w:sz w:val="28"/>
                <w:szCs w:val="28"/>
              </w:rPr>
              <w:t xml:space="preserve"> Sociālo zinātņu fakultātes Starptautisko zinātnisko konferenču rakstu krājums. Daugavpils, 2016, 7.-13.lpp.Pieejams: </w:t>
            </w:r>
            <w:hyperlink r:id="rId11" w:history="1">
              <w:r w:rsidR="004305DB" w:rsidRPr="00844DA6">
                <w:rPr>
                  <w:rStyle w:val="Hyperlink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https://du.lv/wp-content/uploads/2018/10/SZF-krajums_II_Tiesibas_2017.pdf</w:t>
              </w:r>
            </w:hyperlink>
            <w:r w:rsidR="004305DB" w:rsidRPr="00844DA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4305DB" w:rsidRPr="00844DA6" w:rsidRDefault="00BA1929" w:rsidP="004305DB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2" w:history="1">
              <w:r w:rsidR="00E45407" w:rsidRPr="00844DA6">
                <w:rPr>
                  <w:rStyle w:val="Hyperlink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https://lvportals.lv/skaidrojumi/308555-grozijumi-nozaru-likumos-stasies-speka-vienlaikus-ar-administrativas-atbildibas-likumu-2019</w:t>
              </w:r>
            </w:hyperlink>
            <w:r w:rsidR="004305DB" w:rsidRPr="00844DA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45407" w:rsidRPr="00844DA6" w:rsidRDefault="00BA1929" w:rsidP="004305DB">
            <w:pPr>
              <w:numPr>
                <w:ilvl w:val="0"/>
                <w:numId w:val="5"/>
              </w:numPr>
              <w:spacing w:after="0"/>
              <w:ind w:left="498" w:hanging="49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3" w:history="1">
              <w:r w:rsidR="004305DB" w:rsidRPr="00844DA6">
                <w:rPr>
                  <w:rStyle w:val="Hyperlink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https://lvportals.lv/skaidrojumi/306240-kads-sods-paredzets-par-brauksanu-ar-mopedu-bez-tiesibam-2019</w:t>
              </w:r>
            </w:hyperlink>
          </w:p>
          <w:p w:rsidR="00043E20" w:rsidRPr="005C02F4" w:rsidRDefault="00043E20" w:rsidP="004770CF">
            <w:pPr>
              <w:spacing w:after="0"/>
              <w:ind w:left="720"/>
              <w:jc w:val="both"/>
              <w:rPr>
                <w:rFonts w:ascii="Times New Roman" w:hAnsi="Times New Roman"/>
              </w:rPr>
            </w:pPr>
          </w:p>
        </w:tc>
      </w:tr>
      <w:tr w:rsidR="008109C0" w:rsidRPr="005D76DE" w:rsidTr="00477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hidden/>
        </w:trPr>
        <w:tc>
          <w:tcPr>
            <w:tcW w:w="4554" w:type="dxa"/>
            <w:gridSpan w:val="2"/>
            <w:shd w:val="clear" w:color="auto" w:fill="auto"/>
          </w:tcPr>
          <w:p w:rsidR="008109C0" w:rsidRPr="005D76DE" w:rsidRDefault="008109C0" w:rsidP="00FE6477">
            <w:pPr>
              <w:rPr>
                <w:vanish/>
              </w:rPr>
            </w:pPr>
          </w:p>
        </w:tc>
        <w:tc>
          <w:tcPr>
            <w:tcW w:w="5816" w:type="dxa"/>
            <w:gridSpan w:val="2"/>
            <w:shd w:val="clear" w:color="auto" w:fill="auto"/>
          </w:tcPr>
          <w:p w:rsidR="008109C0" w:rsidRPr="005D76DE" w:rsidRDefault="008109C0" w:rsidP="00FE6477">
            <w:pPr>
              <w:rPr>
                <w:vanish/>
              </w:rPr>
            </w:pPr>
          </w:p>
        </w:tc>
      </w:tr>
    </w:tbl>
    <w:p w:rsidR="00FE6477" w:rsidRPr="00FD7150" w:rsidRDefault="00FD7150" w:rsidP="00FD7150">
      <w:pPr>
        <w:jc w:val="center"/>
        <w:rPr>
          <w:rFonts w:ascii="Times New Roman" w:hAnsi="Times New Roman"/>
          <w:vanish/>
          <w:sz w:val="28"/>
        </w:rPr>
      </w:pPr>
      <w:r w:rsidRPr="00FD7150">
        <w:rPr>
          <w:rFonts w:ascii="Times New Roman" w:hAnsi="Times New Roman"/>
          <w:sz w:val="28"/>
        </w:rPr>
        <w:t>ŠIS DOKUMENTS IR PARAKSTĪTS AR ELEKTRONISKO PARAKSTU UN SATUR LAIKA ZĪMOGU</w:t>
      </w:r>
      <w:r w:rsidR="00864158" w:rsidRPr="00FD7150">
        <w:rPr>
          <w:rFonts w:ascii="Times New Roman" w:hAnsi="Times New Roman"/>
          <w:vanish/>
          <w:sz w:val="28"/>
        </w:rPr>
        <w:br w:type="textWrapping" w:clear="all"/>
      </w:r>
    </w:p>
    <w:p w:rsidR="0087056B" w:rsidRPr="00FD7150" w:rsidRDefault="0087056B" w:rsidP="00FD7150">
      <w:pPr>
        <w:jc w:val="center"/>
        <w:rPr>
          <w:rFonts w:ascii="Times New Roman" w:hAnsi="Times New Roman"/>
          <w:sz w:val="28"/>
        </w:rPr>
      </w:pPr>
    </w:p>
    <w:sectPr w:rsidR="0087056B" w:rsidRPr="00FD7150" w:rsidSect="00A6234E">
      <w:headerReference w:type="default" r:id="rId14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929" w:rsidRDefault="00BA1929" w:rsidP="00A6234E">
      <w:pPr>
        <w:spacing w:after="0" w:line="240" w:lineRule="auto"/>
      </w:pPr>
      <w:r>
        <w:separator/>
      </w:r>
    </w:p>
  </w:endnote>
  <w:endnote w:type="continuationSeparator" w:id="0">
    <w:p w:rsidR="00BA1929" w:rsidRDefault="00BA1929" w:rsidP="00A6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929" w:rsidRDefault="00BA1929" w:rsidP="00A6234E">
      <w:pPr>
        <w:spacing w:after="0" w:line="240" w:lineRule="auto"/>
      </w:pPr>
      <w:r>
        <w:separator/>
      </w:r>
    </w:p>
  </w:footnote>
  <w:footnote w:type="continuationSeparator" w:id="0">
    <w:p w:rsidR="00BA1929" w:rsidRDefault="00BA1929" w:rsidP="00A62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34E" w:rsidRDefault="00A6234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770CF">
      <w:rPr>
        <w:noProof/>
      </w:rPr>
      <w:t>6</w:t>
    </w:r>
    <w:r>
      <w:fldChar w:fldCharType="end"/>
    </w:r>
  </w:p>
  <w:p w:rsidR="00A6234E" w:rsidRDefault="00A623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1BA6"/>
    <w:multiLevelType w:val="hybridMultilevel"/>
    <w:tmpl w:val="54804CD6"/>
    <w:lvl w:ilvl="0" w:tplc="3E8AC684">
      <w:start w:val="2"/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B1BB6"/>
    <w:multiLevelType w:val="hybridMultilevel"/>
    <w:tmpl w:val="8F6ED194"/>
    <w:lvl w:ilvl="0" w:tplc="17D6B50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F3E72"/>
    <w:multiLevelType w:val="hybridMultilevel"/>
    <w:tmpl w:val="9BCC8998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A3FE5"/>
    <w:multiLevelType w:val="hybridMultilevel"/>
    <w:tmpl w:val="01A2E4B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05D8B"/>
    <w:multiLevelType w:val="hybridMultilevel"/>
    <w:tmpl w:val="95928C1A"/>
    <w:lvl w:ilvl="0" w:tplc="E4A0624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64325"/>
    <w:multiLevelType w:val="hybridMultilevel"/>
    <w:tmpl w:val="D30C2E58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C597D"/>
    <w:multiLevelType w:val="hybridMultilevel"/>
    <w:tmpl w:val="CE3A3008"/>
    <w:lvl w:ilvl="0" w:tplc="E4A0624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CA"/>
    <w:rsid w:val="00005E2D"/>
    <w:rsid w:val="00027AEC"/>
    <w:rsid w:val="000308EB"/>
    <w:rsid w:val="00043E20"/>
    <w:rsid w:val="00044161"/>
    <w:rsid w:val="00047EE2"/>
    <w:rsid w:val="0007068F"/>
    <w:rsid w:val="00073109"/>
    <w:rsid w:val="0007682A"/>
    <w:rsid w:val="000C26C6"/>
    <w:rsid w:val="000D79DF"/>
    <w:rsid w:val="000D7F58"/>
    <w:rsid w:val="000F292C"/>
    <w:rsid w:val="00123D6B"/>
    <w:rsid w:val="00155F9C"/>
    <w:rsid w:val="00161363"/>
    <w:rsid w:val="00164DD5"/>
    <w:rsid w:val="001701B1"/>
    <w:rsid w:val="001A4CA3"/>
    <w:rsid w:val="001B41A4"/>
    <w:rsid w:val="001B4B3C"/>
    <w:rsid w:val="002049FC"/>
    <w:rsid w:val="002073F5"/>
    <w:rsid w:val="00207491"/>
    <w:rsid w:val="00207D05"/>
    <w:rsid w:val="002116BE"/>
    <w:rsid w:val="00211B2B"/>
    <w:rsid w:val="002302F9"/>
    <w:rsid w:val="002746B1"/>
    <w:rsid w:val="002A54AE"/>
    <w:rsid w:val="002B4075"/>
    <w:rsid w:val="002B4779"/>
    <w:rsid w:val="002E74DF"/>
    <w:rsid w:val="002F6321"/>
    <w:rsid w:val="003037E9"/>
    <w:rsid w:val="00337ABF"/>
    <w:rsid w:val="00363BE4"/>
    <w:rsid w:val="00371E1A"/>
    <w:rsid w:val="00387377"/>
    <w:rsid w:val="003B261D"/>
    <w:rsid w:val="003E212C"/>
    <w:rsid w:val="003E5B71"/>
    <w:rsid w:val="00410C3B"/>
    <w:rsid w:val="004305DB"/>
    <w:rsid w:val="0043797E"/>
    <w:rsid w:val="00447418"/>
    <w:rsid w:val="00464FEA"/>
    <w:rsid w:val="00465FB1"/>
    <w:rsid w:val="004770CF"/>
    <w:rsid w:val="00493EF6"/>
    <w:rsid w:val="004E5C8E"/>
    <w:rsid w:val="004E66E0"/>
    <w:rsid w:val="004F13FC"/>
    <w:rsid w:val="004F3C63"/>
    <w:rsid w:val="004F555E"/>
    <w:rsid w:val="00512AB4"/>
    <w:rsid w:val="005134DD"/>
    <w:rsid w:val="00540AFE"/>
    <w:rsid w:val="00562BA4"/>
    <w:rsid w:val="00563087"/>
    <w:rsid w:val="00576647"/>
    <w:rsid w:val="005C02F4"/>
    <w:rsid w:val="005C7C62"/>
    <w:rsid w:val="005D0DE6"/>
    <w:rsid w:val="005D67D7"/>
    <w:rsid w:val="005D76DE"/>
    <w:rsid w:val="005E1067"/>
    <w:rsid w:val="00601783"/>
    <w:rsid w:val="00616B07"/>
    <w:rsid w:val="00617F69"/>
    <w:rsid w:val="00623DA3"/>
    <w:rsid w:val="00651FA9"/>
    <w:rsid w:val="006545CE"/>
    <w:rsid w:val="0066271C"/>
    <w:rsid w:val="006A7F54"/>
    <w:rsid w:val="006D62F6"/>
    <w:rsid w:val="006E4658"/>
    <w:rsid w:val="006F0532"/>
    <w:rsid w:val="006F7C0E"/>
    <w:rsid w:val="006F7F24"/>
    <w:rsid w:val="00706F01"/>
    <w:rsid w:val="00724D31"/>
    <w:rsid w:val="00731958"/>
    <w:rsid w:val="00764F51"/>
    <w:rsid w:val="0077224A"/>
    <w:rsid w:val="00774A3E"/>
    <w:rsid w:val="00783582"/>
    <w:rsid w:val="007927A6"/>
    <w:rsid w:val="00797941"/>
    <w:rsid w:val="007B513A"/>
    <w:rsid w:val="007B56E7"/>
    <w:rsid w:val="007E2684"/>
    <w:rsid w:val="008076A0"/>
    <w:rsid w:val="008109C0"/>
    <w:rsid w:val="00844DA6"/>
    <w:rsid w:val="00862AE7"/>
    <w:rsid w:val="00864158"/>
    <w:rsid w:val="00864E2A"/>
    <w:rsid w:val="0087056B"/>
    <w:rsid w:val="008718EF"/>
    <w:rsid w:val="00881714"/>
    <w:rsid w:val="008B7204"/>
    <w:rsid w:val="00900E46"/>
    <w:rsid w:val="00916B7F"/>
    <w:rsid w:val="00941AA3"/>
    <w:rsid w:val="009521C3"/>
    <w:rsid w:val="009609CE"/>
    <w:rsid w:val="0098282D"/>
    <w:rsid w:val="00983534"/>
    <w:rsid w:val="00987997"/>
    <w:rsid w:val="009D7E9A"/>
    <w:rsid w:val="009E5830"/>
    <w:rsid w:val="009F11B1"/>
    <w:rsid w:val="00A000D6"/>
    <w:rsid w:val="00A3529F"/>
    <w:rsid w:val="00A509E0"/>
    <w:rsid w:val="00A56099"/>
    <w:rsid w:val="00A6234E"/>
    <w:rsid w:val="00A84E0C"/>
    <w:rsid w:val="00AB14F7"/>
    <w:rsid w:val="00AC1EE8"/>
    <w:rsid w:val="00AC61CA"/>
    <w:rsid w:val="00AF44EA"/>
    <w:rsid w:val="00AF6ED7"/>
    <w:rsid w:val="00B0530D"/>
    <w:rsid w:val="00B07A15"/>
    <w:rsid w:val="00B175D5"/>
    <w:rsid w:val="00B21F5A"/>
    <w:rsid w:val="00B424DF"/>
    <w:rsid w:val="00B60E03"/>
    <w:rsid w:val="00B7537B"/>
    <w:rsid w:val="00B839A7"/>
    <w:rsid w:val="00B85897"/>
    <w:rsid w:val="00BA0EC6"/>
    <w:rsid w:val="00BA1929"/>
    <w:rsid w:val="00BA4177"/>
    <w:rsid w:val="00BF7F98"/>
    <w:rsid w:val="00C36FC4"/>
    <w:rsid w:val="00C5006D"/>
    <w:rsid w:val="00C50B91"/>
    <w:rsid w:val="00C87EA5"/>
    <w:rsid w:val="00C972DD"/>
    <w:rsid w:val="00CB6688"/>
    <w:rsid w:val="00CC0705"/>
    <w:rsid w:val="00CC2E61"/>
    <w:rsid w:val="00CD0B98"/>
    <w:rsid w:val="00CD2688"/>
    <w:rsid w:val="00CD6EAD"/>
    <w:rsid w:val="00CF794D"/>
    <w:rsid w:val="00D3283D"/>
    <w:rsid w:val="00D44905"/>
    <w:rsid w:val="00D579AD"/>
    <w:rsid w:val="00D87616"/>
    <w:rsid w:val="00DB537B"/>
    <w:rsid w:val="00DD0B59"/>
    <w:rsid w:val="00DE6874"/>
    <w:rsid w:val="00DF729B"/>
    <w:rsid w:val="00E02005"/>
    <w:rsid w:val="00E027AD"/>
    <w:rsid w:val="00E45407"/>
    <w:rsid w:val="00E45F75"/>
    <w:rsid w:val="00E80E6D"/>
    <w:rsid w:val="00E873CA"/>
    <w:rsid w:val="00EB2B64"/>
    <w:rsid w:val="00EC5475"/>
    <w:rsid w:val="00EE06A2"/>
    <w:rsid w:val="00F41C14"/>
    <w:rsid w:val="00F73A8B"/>
    <w:rsid w:val="00FA3A17"/>
    <w:rsid w:val="00FB28E8"/>
    <w:rsid w:val="00FB68C0"/>
    <w:rsid w:val="00FC472D"/>
    <w:rsid w:val="00FC6AE4"/>
    <w:rsid w:val="00FD00F1"/>
    <w:rsid w:val="00FD0DA8"/>
    <w:rsid w:val="00FD7150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D36F7"/>
  <w15:chartTrackingRefBased/>
  <w15:docId w15:val="{59B745AE-88CC-4996-A279-BF2EC820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56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E647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E64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E6477"/>
    <w:rPr>
      <w:rFonts w:ascii="Arial" w:eastAsia="Times New Roman" w:hAnsi="Arial" w:cs="Arial"/>
      <w:b/>
      <w:bCs/>
      <w:kern w:val="32"/>
      <w:sz w:val="32"/>
      <w:szCs w:val="32"/>
      <w:lang w:val="lv-LV"/>
    </w:rPr>
  </w:style>
  <w:style w:type="character" w:customStyle="1" w:styleId="Heading2Char">
    <w:name w:val="Heading 2 Char"/>
    <w:link w:val="Heading2"/>
    <w:rsid w:val="00FE6477"/>
    <w:rPr>
      <w:rFonts w:ascii="Arial" w:eastAsia="Times New Roman" w:hAnsi="Arial" w:cs="Arial"/>
      <w:b/>
      <w:bCs/>
      <w:i/>
      <w:iCs/>
      <w:sz w:val="28"/>
      <w:szCs w:val="28"/>
      <w:lang w:val="lv-LV"/>
    </w:rPr>
  </w:style>
  <w:style w:type="character" w:styleId="Hyperlink">
    <w:name w:val="Hyperlink"/>
    <w:uiPriority w:val="99"/>
    <w:unhideWhenUsed/>
    <w:rsid w:val="002B407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F555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6234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6234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234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6234E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A4C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810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353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106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.mk.gov.lv/mk/tap/?pid=404712" TargetMode="External"/><Relationship Id="rId13" Type="http://schemas.openxmlformats.org/officeDocument/2006/relationships/hyperlink" Target="https://lvportals.lv/skaidrojumi/306240-kads-sods-paredzets-par-brauksanu-ar-mopedu-bez-tiesibam-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vportals.lv/skaidrojumi/308555-grozijumi-nozaru-likumos-stasies-speka-vienlaikus-ar-administrativas-atbildibas-likumu-20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u.lv/wp-content/uploads/2018/10/SZF-krajums_II_Tiesibas_2017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juristavards.lv/doc/274085-kads-bus-administrativas-atbildibas-jaunais-regulej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ukonference.lv/files/proceedings_of_conf/978-9984-14-779-6_58%20konf%20kraj_B_Soc%20zin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F134D-E83B-4FBE-AF09-253FEF7D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4676</Words>
  <Characters>2666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7328</CharactersWithSpaces>
  <SharedDoc>false</SharedDoc>
  <HLinks>
    <vt:vector size="36" baseType="variant">
      <vt:variant>
        <vt:i4>6094858</vt:i4>
      </vt:variant>
      <vt:variant>
        <vt:i4>15</vt:i4>
      </vt:variant>
      <vt:variant>
        <vt:i4>0</vt:i4>
      </vt:variant>
      <vt:variant>
        <vt:i4>5</vt:i4>
      </vt:variant>
      <vt:variant>
        <vt:lpwstr>https://lvportals.lv/skaidrojumi/306240-kads-sods-paredzets-par-brauksanu-ar-mopedu-bez-tiesibam-2019</vt:lpwstr>
      </vt:variant>
      <vt:variant>
        <vt:lpwstr/>
      </vt:variant>
      <vt:variant>
        <vt:i4>7274623</vt:i4>
      </vt:variant>
      <vt:variant>
        <vt:i4>12</vt:i4>
      </vt:variant>
      <vt:variant>
        <vt:i4>0</vt:i4>
      </vt:variant>
      <vt:variant>
        <vt:i4>5</vt:i4>
      </vt:variant>
      <vt:variant>
        <vt:lpwstr>https://lvportals.lv/skaidrojumi/308555-grozijumi-nozaru-likumos-stasies-speka-vienlaikus-ar-administrativas-atbildibas-likumu-2019</vt:lpwstr>
      </vt:variant>
      <vt:variant>
        <vt:lpwstr/>
      </vt:variant>
      <vt:variant>
        <vt:i4>3211291</vt:i4>
      </vt:variant>
      <vt:variant>
        <vt:i4>9</vt:i4>
      </vt:variant>
      <vt:variant>
        <vt:i4>0</vt:i4>
      </vt:variant>
      <vt:variant>
        <vt:i4>5</vt:i4>
      </vt:variant>
      <vt:variant>
        <vt:lpwstr>https://du.lv/wp-content/uploads/2018/10/SZF-krajums_II_Tiesibas_2017.pdf</vt:lpwstr>
      </vt:variant>
      <vt:variant>
        <vt:lpwstr/>
      </vt:variant>
      <vt:variant>
        <vt:i4>5439507</vt:i4>
      </vt:variant>
      <vt:variant>
        <vt:i4>6</vt:i4>
      </vt:variant>
      <vt:variant>
        <vt:i4>0</vt:i4>
      </vt:variant>
      <vt:variant>
        <vt:i4>5</vt:i4>
      </vt:variant>
      <vt:variant>
        <vt:lpwstr>https://www.juristavards.lv/doc/274085-kads-bus-administrativas-atbildibas-jaunais-regulejums</vt:lpwstr>
      </vt:variant>
      <vt:variant>
        <vt:lpwstr/>
      </vt:variant>
      <vt:variant>
        <vt:i4>3014658</vt:i4>
      </vt:variant>
      <vt:variant>
        <vt:i4>3</vt:i4>
      </vt:variant>
      <vt:variant>
        <vt:i4>0</vt:i4>
      </vt:variant>
      <vt:variant>
        <vt:i4>5</vt:i4>
      </vt:variant>
      <vt:variant>
        <vt:lpwstr>https://dukonference.lv/files/proceedings_of_conf/978-9984-14-779-6_58 konf kraj_B_Soc zin.pdf</vt:lpwstr>
      </vt:variant>
      <vt:variant>
        <vt:lpwstr/>
      </vt:variant>
      <vt:variant>
        <vt:i4>7471228</vt:i4>
      </vt:variant>
      <vt:variant>
        <vt:i4>0</vt:i4>
      </vt:variant>
      <vt:variant>
        <vt:i4>0</vt:i4>
      </vt:variant>
      <vt:variant>
        <vt:i4>5</vt:i4>
      </vt:variant>
      <vt:variant>
        <vt:lpwstr>http://tap.mk.gov.lv/mk/tap/?pid=404712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Amanda Čerpinska</cp:lastModifiedBy>
  <cp:revision>6</cp:revision>
  <cp:lastPrinted>2014-09-28T18:05:00Z</cp:lastPrinted>
  <dcterms:created xsi:type="dcterms:W3CDTF">2019-10-01T11:20:00Z</dcterms:created>
  <dcterms:modified xsi:type="dcterms:W3CDTF">2019-11-06T08:47:00Z</dcterms:modified>
</cp:coreProperties>
</file>