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DE874" w14:textId="77777777" w:rsidR="00EC5559" w:rsidRPr="00E41A1A" w:rsidRDefault="00EC5559" w:rsidP="00EC5559">
      <w:pPr>
        <w:widowControl w:val="0"/>
        <w:jc w:val="center"/>
        <w:rPr>
          <w:rFonts w:eastAsia="Lucida Sans Unicode" w:cs="Times New Roman"/>
          <w:b/>
          <w:kern w:val="1"/>
          <w:sz w:val="28"/>
          <w:szCs w:val="28"/>
        </w:rPr>
      </w:pPr>
      <w:r w:rsidRPr="00E41A1A">
        <w:rPr>
          <w:rFonts w:eastAsia="Lucida Sans Unicode" w:cs="Times New Roman"/>
          <w:b/>
          <w:kern w:val="1"/>
          <w:sz w:val="28"/>
          <w:szCs w:val="28"/>
        </w:rPr>
        <w:t>UZAICINĀJUMS</w:t>
      </w:r>
    </w:p>
    <w:p w14:paraId="458B88C6" w14:textId="77777777" w:rsidR="00EC5559" w:rsidRPr="00E41A1A" w:rsidRDefault="00040F8D" w:rsidP="00EC5559">
      <w:pPr>
        <w:jc w:val="center"/>
        <w:rPr>
          <w:rFonts w:cs="Times New Roman"/>
          <w:sz w:val="28"/>
          <w:szCs w:val="28"/>
        </w:rPr>
      </w:pPr>
      <w:r w:rsidRPr="00E41A1A">
        <w:rPr>
          <w:rFonts w:cs="Times New Roman"/>
          <w:sz w:val="28"/>
          <w:szCs w:val="28"/>
        </w:rPr>
        <w:t>dalībai tirgus izpētē</w:t>
      </w:r>
      <w:r w:rsidR="003E6B1F" w:rsidRPr="00E41A1A">
        <w:rPr>
          <w:rFonts w:cs="Times New Roman"/>
          <w:sz w:val="28"/>
          <w:szCs w:val="28"/>
        </w:rPr>
        <w:t xml:space="preserve"> iepirkumam</w:t>
      </w:r>
    </w:p>
    <w:p w14:paraId="150AFD95" w14:textId="77777777" w:rsidR="00EC5559" w:rsidRPr="00E41A1A" w:rsidRDefault="00EC5559" w:rsidP="00EC5559">
      <w:pPr>
        <w:jc w:val="center"/>
        <w:rPr>
          <w:sz w:val="28"/>
          <w:szCs w:val="28"/>
        </w:rPr>
      </w:pPr>
      <w:r w:rsidRPr="00E41A1A">
        <w:rPr>
          <w:sz w:val="28"/>
          <w:szCs w:val="28"/>
        </w:rPr>
        <w:t>“</w:t>
      </w:r>
      <w:r w:rsidR="008774AD" w:rsidRPr="00E41A1A">
        <w:rPr>
          <w:sz w:val="28"/>
          <w:szCs w:val="28"/>
        </w:rPr>
        <w:t xml:space="preserve">Angļu valoda Valsts policijas </w:t>
      </w:r>
      <w:r w:rsidR="00A8609D" w:rsidRPr="00E41A1A">
        <w:rPr>
          <w:sz w:val="28"/>
          <w:szCs w:val="28"/>
        </w:rPr>
        <w:t>teritoriālo pārvalžu</w:t>
      </w:r>
      <w:r w:rsidR="008774AD" w:rsidRPr="00E41A1A">
        <w:rPr>
          <w:sz w:val="28"/>
          <w:szCs w:val="28"/>
        </w:rPr>
        <w:t xml:space="preserve"> vadībai</w:t>
      </w:r>
      <w:r w:rsidRPr="00E41A1A">
        <w:rPr>
          <w:sz w:val="28"/>
          <w:szCs w:val="28"/>
        </w:rPr>
        <w:t>”</w:t>
      </w:r>
    </w:p>
    <w:p w14:paraId="61AEF4F3" w14:textId="77777777" w:rsidR="008F5AB8" w:rsidRPr="00E41A1A" w:rsidRDefault="008F5AB8" w:rsidP="00EC5559">
      <w:pPr>
        <w:jc w:val="center"/>
        <w:rPr>
          <w:sz w:val="28"/>
          <w:szCs w:val="28"/>
        </w:rPr>
      </w:pPr>
    </w:p>
    <w:p w14:paraId="0FF7F47C" w14:textId="77777777" w:rsidR="003E6B1F" w:rsidRPr="00E41A1A" w:rsidRDefault="008F5AB8" w:rsidP="00F9573B">
      <w:pPr>
        <w:ind w:firstLine="720"/>
        <w:jc w:val="both"/>
        <w:rPr>
          <w:sz w:val="28"/>
          <w:szCs w:val="28"/>
        </w:rPr>
      </w:pPr>
      <w:r w:rsidRPr="00E41A1A">
        <w:rPr>
          <w:sz w:val="28"/>
          <w:szCs w:val="28"/>
        </w:rPr>
        <w:t xml:space="preserve">Tirgus izpēte un iepirkums tiek veikts piemērojot Publisko iepirkuma likuma 9.panta 20.daļu un 10. pantu </w:t>
      </w:r>
      <w:r w:rsidR="0043363A" w:rsidRPr="00E41A1A">
        <w:rPr>
          <w:sz w:val="28"/>
          <w:szCs w:val="28"/>
        </w:rPr>
        <w:t>Publisko iepirkuma likuma</w:t>
      </w:r>
      <w:r w:rsidRPr="00E41A1A">
        <w:rPr>
          <w:sz w:val="28"/>
          <w:szCs w:val="28"/>
        </w:rPr>
        <w:t xml:space="preserve"> 2. pielikuma pakalpojumu iepirkumiem ar līgumcenas robežvērtību No 10 000 EUR līdz 41 999 EUR</w:t>
      </w:r>
      <w:r w:rsidR="003E6B1F" w:rsidRPr="00E41A1A">
        <w:rPr>
          <w:sz w:val="28"/>
          <w:szCs w:val="28"/>
        </w:rPr>
        <w:t>.</w:t>
      </w:r>
    </w:p>
    <w:p w14:paraId="3D9C3263" w14:textId="77777777" w:rsidR="00355F39" w:rsidRPr="00E41A1A" w:rsidRDefault="003E6B1F" w:rsidP="003E6B1F">
      <w:pPr>
        <w:ind w:firstLine="720"/>
        <w:jc w:val="both"/>
        <w:rPr>
          <w:sz w:val="28"/>
          <w:szCs w:val="28"/>
        </w:rPr>
      </w:pPr>
      <w:r w:rsidRPr="00E41A1A">
        <w:rPr>
          <w:sz w:val="28"/>
          <w:szCs w:val="28"/>
        </w:rPr>
        <w:t>CPV kod</w:t>
      </w:r>
      <w:r w:rsidR="00BA7986" w:rsidRPr="00E41A1A">
        <w:rPr>
          <w:sz w:val="28"/>
          <w:szCs w:val="28"/>
        </w:rPr>
        <w:t xml:space="preserve">s </w:t>
      </w:r>
      <w:bookmarkStart w:id="0" w:name="_Hlk64282205"/>
      <w:r w:rsidR="00B24CC8" w:rsidRPr="00E41A1A">
        <w:rPr>
          <w:sz w:val="28"/>
          <w:szCs w:val="28"/>
        </w:rPr>
        <w:t>80580000-3</w:t>
      </w:r>
      <w:bookmarkEnd w:id="0"/>
      <w:r w:rsidR="00355F39" w:rsidRPr="00E41A1A">
        <w:rPr>
          <w:sz w:val="28"/>
          <w:szCs w:val="28"/>
        </w:rPr>
        <w:tab/>
      </w:r>
      <w:r w:rsidR="000B229A" w:rsidRPr="00E41A1A">
        <w:rPr>
          <w:sz w:val="28"/>
          <w:szCs w:val="28"/>
        </w:rPr>
        <w:t xml:space="preserve"> </w:t>
      </w:r>
      <w:r w:rsidR="00B24CC8" w:rsidRPr="00E41A1A">
        <w:rPr>
          <w:sz w:val="28"/>
          <w:szCs w:val="28"/>
        </w:rPr>
        <w:t>Valodas mācības</w:t>
      </w:r>
    </w:p>
    <w:p w14:paraId="2C45E5A5" w14:textId="77777777" w:rsidR="00EC5559" w:rsidRPr="00E41A1A" w:rsidRDefault="00896BA0" w:rsidP="00896BA0">
      <w:pPr>
        <w:widowControl w:val="0"/>
        <w:ind w:right="-1" w:firstLine="720"/>
        <w:jc w:val="both"/>
        <w:rPr>
          <w:b/>
          <w:sz w:val="28"/>
          <w:szCs w:val="28"/>
        </w:rPr>
      </w:pPr>
      <w:r w:rsidRPr="00E41A1A">
        <w:rPr>
          <w:b/>
          <w:sz w:val="28"/>
          <w:szCs w:val="28"/>
        </w:rPr>
        <w:t>1.</w:t>
      </w:r>
      <w:r w:rsidR="00EC5559" w:rsidRPr="00E41A1A">
        <w:rPr>
          <w:b/>
          <w:sz w:val="28"/>
          <w:szCs w:val="28"/>
        </w:rPr>
        <w:t>Pasūtītājs:</w:t>
      </w:r>
    </w:p>
    <w:p w14:paraId="1087B114" w14:textId="77777777" w:rsidR="00EC5559" w:rsidRPr="00E41A1A" w:rsidRDefault="00EC5559" w:rsidP="00EC5559">
      <w:pPr>
        <w:widowControl w:val="0"/>
        <w:ind w:right="-1"/>
        <w:jc w:val="both"/>
        <w:rPr>
          <w:sz w:val="28"/>
          <w:szCs w:val="28"/>
        </w:rPr>
      </w:pPr>
      <w:r w:rsidRPr="00E41A1A">
        <w:rPr>
          <w:sz w:val="28"/>
          <w:szCs w:val="28"/>
        </w:rPr>
        <w:t>Valsts policijas koledža (turpmāk– Koledža)</w:t>
      </w:r>
    </w:p>
    <w:p w14:paraId="40A10057" w14:textId="77777777" w:rsidR="00EC5559" w:rsidRPr="00E41A1A" w:rsidRDefault="00EC5559" w:rsidP="00EC5559">
      <w:pPr>
        <w:widowControl w:val="0"/>
        <w:ind w:right="-1"/>
        <w:jc w:val="both"/>
        <w:rPr>
          <w:sz w:val="28"/>
          <w:szCs w:val="28"/>
        </w:rPr>
      </w:pPr>
      <w:r w:rsidRPr="00E41A1A">
        <w:rPr>
          <w:sz w:val="28"/>
          <w:szCs w:val="28"/>
        </w:rPr>
        <w:t>Ezermalas 10, Rīga, LV – 1014</w:t>
      </w:r>
    </w:p>
    <w:p w14:paraId="7B96ECA8" w14:textId="1015DE7A" w:rsidR="00896BA0" w:rsidRPr="00E41A1A" w:rsidRDefault="00896BA0" w:rsidP="00896BA0">
      <w:pPr>
        <w:widowControl w:val="0"/>
        <w:ind w:right="-1" w:firstLine="720"/>
        <w:jc w:val="both"/>
        <w:rPr>
          <w:b/>
          <w:sz w:val="28"/>
          <w:szCs w:val="28"/>
        </w:rPr>
      </w:pPr>
      <w:r w:rsidRPr="00E41A1A">
        <w:rPr>
          <w:b/>
          <w:sz w:val="28"/>
          <w:szCs w:val="28"/>
        </w:rPr>
        <w:t>2.</w:t>
      </w:r>
      <w:r w:rsidR="00EC5559" w:rsidRPr="00E41A1A">
        <w:rPr>
          <w:b/>
          <w:sz w:val="28"/>
          <w:szCs w:val="28"/>
        </w:rPr>
        <w:t>Kontaktpersona:</w:t>
      </w:r>
    </w:p>
    <w:p w14:paraId="6801EE2D" w14:textId="7714CD7B" w:rsidR="00EC5559" w:rsidRPr="00E41A1A" w:rsidRDefault="00075C24" w:rsidP="0018164B">
      <w:pPr>
        <w:widowControl w:val="0"/>
        <w:ind w:right="-1"/>
        <w:jc w:val="both"/>
        <w:rPr>
          <w:sz w:val="28"/>
          <w:szCs w:val="28"/>
        </w:rPr>
      </w:pPr>
      <w:r w:rsidRPr="00075C24">
        <w:rPr>
          <w:sz w:val="28"/>
          <w:szCs w:val="28"/>
        </w:rPr>
        <w:t>Valsts policijas koledžas Profesionālās pilnveides nodaļas vecākā inspektore Zaiga Paegle, mob. tālr.29389677,</w:t>
      </w:r>
      <w:r w:rsidRPr="00F82582">
        <w:rPr>
          <w:sz w:val="28"/>
          <w:szCs w:val="28"/>
        </w:rPr>
        <w:t xml:space="preserve"> e-pasts: </w:t>
      </w:r>
      <w:hyperlink r:id="rId8" w:history="1">
        <w:r w:rsidRPr="00F82582">
          <w:rPr>
            <w:color w:val="0070C0"/>
            <w:sz w:val="28"/>
            <w:szCs w:val="28"/>
            <w:u w:val="single"/>
          </w:rPr>
          <w:t>zaiga.paegle@koledza.vp.gov.lv</w:t>
        </w:r>
      </w:hyperlink>
      <w:r w:rsidRPr="00F82582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 </w:t>
      </w:r>
      <w:r w:rsidR="00AC44A4" w:rsidRPr="00E41A1A">
        <w:rPr>
          <w:sz w:val="28"/>
          <w:szCs w:val="28"/>
        </w:rPr>
        <w:t xml:space="preserve"> </w:t>
      </w:r>
      <w:proofErr w:type="gramEnd"/>
    </w:p>
    <w:p w14:paraId="2D1B2C02" w14:textId="77777777" w:rsidR="00EC5559" w:rsidRPr="00E41A1A" w:rsidRDefault="00925D4E" w:rsidP="00925D4E">
      <w:pPr>
        <w:widowControl w:val="0"/>
        <w:ind w:right="-1" w:firstLine="709"/>
        <w:jc w:val="both"/>
        <w:rPr>
          <w:b/>
          <w:bCs/>
          <w:iCs/>
          <w:sz w:val="28"/>
          <w:szCs w:val="28"/>
        </w:rPr>
      </w:pPr>
      <w:r w:rsidRPr="00E41A1A">
        <w:rPr>
          <w:b/>
          <w:sz w:val="28"/>
          <w:szCs w:val="28"/>
        </w:rPr>
        <w:t>3.</w:t>
      </w:r>
      <w:r w:rsidR="00EC5559" w:rsidRPr="00E41A1A">
        <w:rPr>
          <w:b/>
          <w:bCs/>
          <w:iCs/>
          <w:sz w:val="28"/>
          <w:szCs w:val="28"/>
        </w:rPr>
        <w:t>Informācija par iepirkuma priekšmetu:</w:t>
      </w:r>
    </w:p>
    <w:p w14:paraId="067425A4" w14:textId="20DC49D5" w:rsidR="00EC5559" w:rsidRPr="00E41A1A" w:rsidRDefault="006D66CD" w:rsidP="00EC5559">
      <w:pPr>
        <w:widowControl w:val="0"/>
        <w:ind w:right="-1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Koledžai nepieciešam</w:t>
      </w:r>
      <w:r w:rsidR="008774AD" w:rsidRPr="00E41A1A">
        <w:rPr>
          <w:bCs/>
          <w:iCs/>
          <w:sz w:val="28"/>
          <w:szCs w:val="28"/>
        </w:rPr>
        <w:t>ā angļu valodas apmācīb</w:t>
      </w:r>
      <w:r w:rsidR="00447640" w:rsidRPr="00E41A1A">
        <w:rPr>
          <w:bCs/>
          <w:iCs/>
          <w:sz w:val="28"/>
          <w:szCs w:val="28"/>
        </w:rPr>
        <w:t>u</w:t>
      </w:r>
      <w:r w:rsidR="00FC5372" w:rsidRPr="00E41A1A">
        <w:rPr>
          <w:bCs/>
          <w:iCs/>
          <w:sz w:val="28"/>
          <w:szCs w:val="28"/>
        </w:rPr>
        <w:t xml:space="preserve"> nodrošināšana Koledžas norā</w:t>
      </w:r>
      <w:r w:rsidR="008774AD" w:rsidRPr="00E41A1A">
        <w:rPr>
          <w:bCs/>
          <w:iCs/>
          <w:sz w:val="28"/>
          <w:szCs w:val="28"/>
        </w:rPr>
        <w:t>dītaj</w:t>
      </w:r>
      <w:r w:rsidR="00B24CC8" w:rsidRPr="00E41A1A">
        <w:rPr>
          <w:bCs/>
          <w:iCs/>
          <w:sz w:val="28"/>
          <w:szCs w:val="28"/>
        </w:rPr>
        <w:t>ām</w:t>
      </w:r>
      <w:r w:rsidR="008774AD" w:rsidRPr="00E41A1A">
        <w:rPr>
          <w:bCs/>
          <w:iCs/>
          <w:sz w:val="28"/>
          <w:szCs w:val="28"/>
        </w:rPr>
        <w:t xml:space="preserve"> Valsts policijas amatpersonām </w:t>
      </w:r>
      <w:r w:rsidRPr="00E41A1A">
        <w:rPr>
          <w:bCs/>
          <w:iCs/>
          <w:sz w:val="28"/>
          <w:szCs w:val="28"/>
        </w:rPr>
        <w:t xml:space="preserve">saskaņā ar tehnisko specifikāciju (uzaicinājuma dalībai tirgus izpētē iepirkumam pielikums Nr.1) no </w:t>
      </w:r>
      <w:proofErr w:type="gramStart"/>
      <w:r w:rsidRPr="00E41A1A">
        <w:rPr>
          <w:bCs/>
          <w:iCs/>
          <w:sz w:val="28"/>
          <w:szCs w:val="28"/>
        </w:rPr>
        <w:t>20</w:t>
      </w:r>
      <w:r w:rsidR="00FC5372" w:rsidRPr="00E41A1A">
        <w:rPr>
          <w:bCs/>
          <w:iCs/>
          <w:sz w:val="28"/>
          <w:szCs w:val="28"/>
        </w:rPr>
        <w:t>2</w:t>
      </w:r>
      <w:r w:rsidR="00584945">
        <w:rPr>
          <w:bCs/>
          <w:iCs/>
          <w:sz w:val="28"/>
          <w:szCs w:val="28"/>
        </w:rPr>
        <w:t>3</w:t>
      </w:r>
      <w:r w:rsidRPr="00E41A1A">
        <w:rPr>
          <w:bCs/>
          <w:iCs/>
          <w:sz w:val="28"/>
          <w:szCs w:val="28"/>
        </w:rPr>
        <w:t>.gada</w:t>
      </w:r>
      <w:proofErr w:type="gramEnd"/>
      <w:r w:rsidRPr="00E41A1A">
        <w:rPr>
          <w:bCs/>
          <w:iCs/>
          <w:sz w:val="28"/>
          <w:szCs w:val="28"/>
        </w:rPr>
        <w:t xml:space="preserve"> </w:t>
      </w:r>
      <w:r w:rsidR="00CD587E">
        <w:rPr>
          <w:bCs/>
          <w:iCs/>
          <w:sz w:val="28"/>
          <w:szCs w:val="28"/>
        </w:rPr>
        <w:t>janvāra</w:t>
      </w:r>
      <w:r w:rsidRPr="00E41A1A">
        <w:rPr>
          <w:bCs/>
          <w:iCs/>
          <w:sz w:val="28"/>
          <w:szCs w:val="28"/>
        </w:rPr>
        <w:t xml:space="preserve"> līdz 20</w:t>
      </w:r>
      <w:r w:rsidR="00FC5372" w:rsidRPr="00E41A1A">
        <w:rPr>
          <w:bCs/>
          <w:iCs/>
          <w:sz w:val="28"/>
          <w:szCs w:val="28"/>
        </w:rPr>
        <w:t>2</w:t>
      </w:r>
      <w:r w:rsidR="00584945">
        <w:rPr>
          <w:bCs/>
          <w:iCs/>
          <w:sz w:val="28"/>
          <w:szCs w:val="28"/>
        </w:rPr>
        <w:t>3</w:t>
      </w:r>
      <w:r w:rsidRPr="00E41A1A">
        <w:rPr>
          <w:bCs/>
          <w:iCs/>
          <w:sz w:val="28"/>
          <w:szCs w:val="28"/>
        </w:rPr>
        <w:t>.gada decembrim.</w:t>
      </w:r>
      <w:r w:rsidR="004C746E" w:rsidRPr="00E41A1A">
        <w:rPr>
          <w:bCs/>
          <w:iCs/>
          <w:sz w:val="28"/>
          <w:szCs w:val="28"/>
        </w:rPr>
        <w:t xml:space="preserve"> </w:t>
      </w:r>
    </w:p>
    <w:p w14:paraId="30D4C10C" w14:textId="77777777" w:rsidR="00925D4E" w:rsidRPr="00E41A1A" w:rsidRDefault="00925D4E" w:rsidP="00925D4E">
      <w:pPr>
        <w:widowControl w:val="0"/>
        <w:ind w:right="-1" w:firstLine="720"/>
        <w:jc w:val="both"/>
        <w:rPr>
          <w:b/>
          <w:bCs/>
          <w:iCs/>
          <w:sz w:val="28"/>
          <w:szCs w:val="28"/>
        </w:rPr>
      </w:pPr>
      <w:r w:rsidRPr="00E41A1A">
        <w:rPr>
          <w:b/>
          <w:bCs/>
          <w:iCs/>
          <w:sz w:val="28"/>
          <w:szCs w:val="28"/>
        </w:rPr>
        <w:t>4.Prasības pretendentiem</w:t>
      </w:r>
    </w:p>
    <w:p w14:paraId="6CFEB33C" w14:textId="77777777" w:rsidR="00925D4E" w:rsidRPr="00E41A1A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Pretendents ir juridiska persona, k</w:t>
      </w:r>
      <w:r w:rsidR="00447640" w:rsidRPr="00E41A1A">
        <w:rPr>
          <w:bCs/>
          <w:iCs/>
          <w:sz w:val="28"/>
          <w:szCs w:val="28"/>
        </w:rPr>
        <w:t>ura</w:t>
      </w:r>
      <w:r w:rsidRPr="00E41A1A">
        <w:rPr>
          <w:bCs/>
          <w:iCs/>
          <w:sz w:val="28"/>
          <w:szCs w:val="28"/>
        </w:rPr>
        <w:t xml:space="preserve"> ir reģistrēta Latvijas Republikas normatīvajos aktos noteiktajā kārtībā</w:t>
      </w:r>
      <w:r w:rsidR="00447640" w:rsidRPr="00E41A1A">
        <w:rPr>
          <w:bCs/>
          <w:iCs/>
          <w:sz w:val="28"/>
          <w:szCs w:val="28"/>
        </w:rPr>
        <w:t>, saņēmusi licences (sertifikātus, atļaujas) apmācību veikša</w:t>
      </w:r>
      <w:r w:rsidR="00FC5372" w:rsidRPr="00E41A1A">
        <w:rPr>
          <w:bCs/>
          <w:iCs/>
          <w:sz w:val="28"/>
          <w:szCs w:val="28"/>
        </w:rPr>
        <w:t>n</w:t>
      </w:r>
      <w:r w:rsidR="00447640" w:rsidRPr="00E41A1A">
        <w:rPr>
          <w:bCs/>
          <w:iCs/>
          <w:sz w:val="28"/>
          <w:szCs w:val="28"/>
        </w:rPr>
        <w:t>ai un kurai ir nepieciešamā pieredze angļu valodas apmācībā tiesībaizsardzības iestāžu darbiniekiem</w:t>
      </w:r>
      <w:r w:rsidRPr="00E41A1A">
        <w:rPr>
          <w:bCs/>
          <w:iCs/>
          <w:sz w:val="28"/>
          <w:szCs w:val="28"/>
        </w:rPr>
        <w:t>.</w:t>
      </w:r>
    </w:p>
    <w:p w14:paraId="022F08C0" w14:textId="77777777" w:rsidR="00925D4E" w:rsidRPr="00E41A1A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Attiecībā uz pretendentu nav konstatējami Publisko iepirkumu likuma 9. panta astot</w:t>
      </w:r>
      <w:r w:rsidR="0084666C" w:rsidRPr="00E41A1A">
        <w:rPr>
          <w:bCs/>
          <w:iCs/>
          <w:sz w:val="28"/>
          <w:szCs w:val="28"/>
        </w:rPr>
        <w:t>ajā daļā</w:t>
      </w:r>
      <w:r w:rsidRPr="00E41A1A">
        <w:rPr>
          <w:bCs/>
          <w:iCs/>
          <w:sz w:val="28"/>
          <w:szCs w:val="28"/>
        </w:rPr>
        <w:t xml:space="preserve"> minētie apstākļi. </w:t>
      </w:r>
    </w:p>
    <w:p w14:paraId="616F5C47" w14:textId="77777777" w:rsidR="00925D4E" w:rsidRPr="00E41A1A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/>
          <w:bCs/>
          <w:iCs/>
          <w:sz w:val="28"/>
          <w:szCs w:val="28"/>
        </w:rPr>
        <w:t>5.Piedāvājuma iesniegšana:</w:t>
      </w:r>
    </w:p>
    <w:p w14:paraId="08340849" w14:textId="77777777" w:rsidR="0084666C" w:rsidRPr="00E41A1A" w:rsidRDefault="0084666C" w:rsidP="0084666C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Pretendents aizpilda pieteikumu dalībai tirgus izpētē</w:t>
      </w:r>
      <w:r w:rsidRPr="00E41A1A">
        <w:t xml:space="preserve"> </w:t>
      </w:r>
      <w:r w:rsidRPr="00E41A1A">
        <w:rPr>
          <w:bCs/>
          <w:iCs/>
          <w:sz w:val="28"/>
          <w:szCs w:val="28"/>
        </w:rPr>
        <w:t xml:space="preserve">(uzaicinājuma dalībai tirgus izpētē iepirkumam </w:t>
      </w:r>
      <w:r w:rsidR="00B24CC8" w:rsidRPr="00E41A1A">
        <w:rPr>
          <w:bCs/>
          <w:iCs/>
          <w:sz w:val="28"/>
          <w:szCs w:val="28"/>
        </w:rPr>
        <w:t xml:space="preserve"> - </w:t>
      </w:r>
      <w:r w:rsidRPr="00E41A1A">
        <w:rPr>
          <w:bCs/>
          <w:iCs/>
          <w:sz w:val="28"/>
          <w:szCs w:val="28"/>
        </w:rPr>
        <w:t>pielikums Nr.2)</w:t>
      </w:r>
      <w:r w:rsidR="00B856C9" w:rsidRPr="00E41A1A">
        <w:rPr>
          <w:bCs/>
          <w:iCs/>
          <w:sz w:val="28"/>
          <w:szCs w:val="28"/>
        </w:rPr>
        <w:t xml:space="preserve"> un tehnisko un finanšu piedāvājumu</w:t>
      </w:r>
      <w:r w:rsidR="00B856C9" w:rsidRPr="00E41A1A">
        <w:t xml:space="preserve"> </w:t>
      </w:r>
      <w:r w:rsidR="00B856C9" w:rsidRPr="00E41A1A">
        <w:rPr>
          <w:bCs/>
          <w:iCs/>
          <w:sz w:val="28"/>
          <w:szCs w:val="28"/>
        </w:rPr>
        <w:t>(uzaicinājuma dalībai tirgus izpētē iepirkumam  - pielikums Nr.3)</w:t>
      </w:r>
    </w:p>
    <w:p w14:paraId="4F2E7FA2" w14:textId="35355716" w:rsidR="0084666C" w:rsidRPr="00E41A1A" w:rsidRDefault="0084666C" w:rsidP="0084666C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Pieteikumu</w:t>
      </w:r>
      <w:r w:rsidRPr="00E41A1A">
        <w:t xml:space="preserve"> </w:t>
      </w:r>
      <w:r w:rsidRPr="00E41A1A">
        <w:rPr>
          <w:bCs/>
          <w:iCs/>
          <w:sz w:val="28"/>
          <w:szCs w:val="28"/>
        </w:rPr>
        <w:t xml:space="preserve">pretendents Koledžā iesniedz līdz </w:t>
      </w:r>
      <w:proofErr w:type="gramStart"/>
      <w:r w:rsidR="00FC5372" w:rsidRPr="00E41A1A">
        <w:rPr>
          <w:b/>
          <w:bCs/>
          <w:iCs/>
          <w:sz w:val="28"/>
          <w:szCs w:val="28"/>
        </w:rPr>
        <w:t>202</w:t>
      </w:r>
      <w:r w:rsidR="00584945">
        <w:rPr>
          <w:b/>
          <w:bCs/>
          <w:iCs/>
          <w:sz w:val="28"/>
          <w:szCs w:val="28"/>
        </w:rPr>
        <w:t>2</w:t>
      </w:r>
      <w:r w:rsidRPr="00E41A1A">
        <w:rPr>
          <w:b/>
          <w:bCs/>
          <w:iCs/>
          <w:sz w:val="28"/>
          <w:szCs w:val="28"/>
        </w:rPr>
        <w:t>.gada</w:t>
      </w:r>
      <w:proofErr w:type="gramEnd"/>
      <w:r w:rsidRPr="00E41A1A">
        <w:rPr>
          <w:b/>
          <w:bCs/>
          <w:iCs/>
          <w:sz w:val="28"/>
          <w:szCs w:val="28"/>
        </w:rPr>
        <w:t xml:space="preserve"> </w:t>
      </w:r>
      <w:r w:rsidR="00584945">
        <w:rPr>
          <w:b/>
          <w:bCs/>
          <w:iCs/>
          <w:sz w:val="28"/>
          <w:szCs w:val="28"/>
        </w:rPr>
        <w:t>1</w:t>
      </w:r>
      <w:r w:rsidR="00CD587E">
        <w:rPr>
          <w:b/>
          <w:bCs/>
          <w:iCs/>
          <w:sz w:val="28"/>
          <w:szCs w:val="28"/>
        </w:rPr>
        <w:t>5</w:t>
      </w:r>
      <w:r w:rsidR="00584945">
        <w:rPr>
          <w:b/>
          <w:bCs/>
          <w:iCs/>
          <w:sz w:val="28"/>
          <w:szCs w:val="28"/>
        </w:rPr>
        <w:t>.</w:t>
      </w:r>
      <w:r w:rsidR="00CD587E">
        <w:rPr>
          <w:b/>
          <w:bCs/>
          <w:iCs/>
          <w:sz w:val="28"/>
          <w:szCs w:val="28"/>
        </w:rPr>
        <w:t>novembrim</w:t>
      </w:r>
      <w:r w:rsidRPr="00E41A1A">
        <w:t xml:space="preserve"> </w:t>
      </w:r>
      <w:r w:rsidRPr="00E41A1A">
        <w:rPr>
          <w:b/>
          <w:bCs/>
          <w:iCs/>
          <w:sz w:val="28"/>
          <w:szCs w:val="28"/>
        </w:rPr>
        <w:t>plkst.1</w:t>
      </w:r>
      <w:r w:rsidR="0043363A" w:rsidRPr="00E41A1A">
        <w:rPr>
          <w:b/>
          <w:bCs/>
          <w:iCs/>
          <w:sz w:val="28"/>
          <w:szCs w:val="28"/>
        </w:rPr>
        <w:t>6</w:t>
      </w:r>
      <w:r w:rsidRPr="00E41A1A">
        <w:rPr>
          <w:b/>
          <w:bCs/>
          <w:iCs/>
          <w:sz w:val="28"/>
          <w:szCs w:val="28"/>
        </w:rPr>
        <w:t>:00</w:t>
      </w:r>
      <w:r w:rsidRPr="00E41A1A">
        <w:rPr>
          <w:bCs/>
          <w:iCs/>
          <w:sz w:val="28"/>
          <w:szCs w:val="28"/>
        </w:rPr>
        <w:t xml:space="preserve">, nosūtot to elektroniski parakstītu uz Koledžas oficiālo elektronisko adresi </w:t>
      </w:r>
      <w:hyperlink r:id="rId9" w:history="1">
        <w:r w:rsidR="00E70DC1" w:rsidRPr="00AB2E01">
          <w:rPr>
            <w:rStyle w:val="Hyperlink"/>
            <w:bCs/>
            <w:iCs/>
            <w:sz w:val="28"/>
            <w:szCs w:val="28"/>
          </w:rPr>
          <w:t>pasts@koledza.vp.gov.lv</w:t>
        </w:r>
      </w:hyperlink>
      <w:r w:rsidRPr="00E41A1A">
        <w:rPr>
          <w:bCs/>
          <w:iCs/>
          <w:sz w:val="28"/>
          <w:szCs w:val="28"/>
        </w:rPr>
        <w:t>, vai</w:t>
      </w:r>
      <w:r w:rsidRPr="00E41A1A">
        <w:t xml:space="preserve"> </w:t>
      </w:r>
      <w:r w:rsidRPr="00E41A1A">
        <w:rPr>
          <w:bCs/>
          <w:iCs/>
          <w:sz w:val="28"/>
          <w:szCs w:val="28"/>
        </w:rPr>
        <w:t xml:space="preserve">parakstītu papīra formā Koledžas </w:t>
      </w:r>
      <w:r w:rsidR="00E70DC1">
        <w:rPr>
          <w:bCs/>
          <w:iCs/>
          <w:sz w:val="28"/>
          <w:szCs w:val="28"/>
        </w:rPr>
        <w:t>Administrācijas</w:t>
      </w:r>
      <w:r w:rsidRPr="00E41A1A">
        <w:rPr>
          <w:bCs/>
          <w:iCs/>
          <w:sz w:val="28"/>
          <w:szCs w:val="28"/>
        </w:rPr>
        <w:t xml:space="preserve"> nodaļas dokumentu pārvaldībā administratīvā korpusa 209.kabinetā Ezermalas ielā 10, Rīgā, LV-1014.</w:t>
      </w:r>
    </w:p>
    <w:p w14:paraId="45E33CA6" w14:textId="77777777" w:rsidR="0084666C" w:rsidRPr="00E41A1A" w:rsidRDefault="0084666C" w:rsidP="0084666C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Pretendents var iesniegt tikai vienu piedāvājuma variantu</w:t>
      </w:r>
      <w:r w:rsidR="00447640" w:rsidRPr="00E41A1A">
        <w:rPr>
          <w:bCs/>
          <w:iCs/>
          <w:sz w:val="28"/>
          <w:szCs w:val="28"/>
        </w:rPr>
        <w:t>.</w:t>
      </w:r>
    </w:p>
    <w:p w14:paraId="399A7B21" w14:textId="77777777" w:rsidR="00925D4E" w:rsidRPr="00E41A1A" w:rsidRDefault="00925D4E" w:rsidP="0084666C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/>
          <w:bCs/>
          <w:iCs/>
          <w:sz w:val="28"/>
          <w:szCs w:val="28"/>
        </w:rPr>
        <w:t>6.Piedāvājuma vērtēšana:</w:t>
      </w:r>
    </w:p>
    <w:p w14:paraId="76727E1F" w14:textId="77777777" w:rsidR="00925D4E" w:rsidRPr="00E41A1A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 xml:space="preserve">Koledža izvēlas </w:t>
      </w:r>
      <w:r w:rsidR="006B6B5C" w:rsidRPr="00E41A1A">
        <w:rPr>
          <w:bCs/>
          <w:iCs/>
          <w:sz w:val="28"/>
          <w:szCs w:val="28"/>
        </w:rPr>
        <w:t>slēgt līgumu ar pretendentu, kura</w:t>
      </w:r>
      <w:r w:rsidRPr="00E41A1A">
        <w:rPr>
          <w:bCs/>
          <w:iCs/>
          <w:sz w:val="28"/>
          <w:szCs w:val="28"/>
        </w:rPr>
        <w:t>:</w:t>
      </w:r>
    </w:p>
    <w:p w14:paraId="215D6300" w14:textId="77777777" w:rsidR="00925D4E" w:rsidRPr="00E41A1A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-</w:t>
      </w:r>
      <w:r w:rsidR="006B6B5C" w:rsidRPr="00E41A1A">
        <w:rPr>
          <w:bCs/>
          <w:iCs/>
          <w:sz w:val="28"/>
          <w:szCs w:val="28"/>
        </w:rPr>
        <w:t xml:space="preserve"> piedāvājums </w:t>
      </w:r>
      <w:r w:rsidRPr="00E41A1A">
        <w:rPr>
          <w:bCs/>
          <w:iCs/>
          <w:sz w:val="28"/>
          <w:szCs w:val="28"/>
        </w:rPr>
        <w:t>atbilst tirgus izpētes uzaicinājuma dokumentācijas un Tehniskās specifikācijas prasībām,</w:t>
      </w:r>
    </w:p>
    <w:p w14:paraId="16ABB4AB" w14:textId="77777777" w:rsidR="00925D4E" w:rsidRPr="00E41A1A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 xml:space="preserve">- </w:t>
      </w:r>
      <w:r w:rsidR="006B6B5C" w:rsidRPr="00E41A1A">
        <w:rPr>
          <w:bCs/>
          <w:iCs/>
          <w:sz w:val="28"/>
          <w:szCs w:val="28"/>
        </w:rPr>
        <w:t xml:space="preserve">piedāvātā vienas </w:t>
      </w:r>
      <w:r w:rsidR="00447640" w:rsidRPr="00E41A1A">
        <w:rPr>
          <w:bCs/>
          <w:iCs/>
          <w:sz w:val="28"/>
          <w:szCs w:val="28"/>
        </w:rPr>
        <w:t xml:space="preserve">akadēmiskās mācību stundas (45 minūtes) </w:t>
      </w:r>
      <w:r w:rsidR="00304F17" w:rsidRPr="00E41A1A">
        <w:rPr>
          <w:bCs/>
          <w:iCs/>
          <w:sz w:val="28"/>
          <w:szCs w:val="28"/>
        </w:rPr>
        <w:t>cena ir zemākā,</w:t>
      </w:r>
      <w:r w:rsidR="00D02419" w:rsidRPr="00E41A1A">
        <w:rPr>
          <w:bCs/>
          <w:iCs/>
          <w:sz w:val="28"/>
          <w:szCs w:val="28"/>
        </w:rPr>
        <w:t xml:space="preserve"> </w:t>
      </w:r>
      <w:r w:rsidR="00D02419" w:rsidRPr="00E41A1A">
        <w:rPr>
          <w:bCs/>
          <w:iCs/>
          <w:sz w:val="28"/>
          <w:szCs w:val="28"/>
        </w:rPr>
        <w:lastRenderedPageBreak/>
        <w:t>ja ir vienāds mācību stundu skaits mācību programmā.</w:t>
      </w:r>
    </w:p>
    <w:p w14:paraId="543ECA67" w14:textId="77777777" w:rsidR="00304F17" w:rsidRPr="00E41A1A" w:rsidRDefault="00D02419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Ja ir</w:t>
      </w:r>
      <w:r w:rsidR="00304F17" w:rsidRPr="00E41A1A">
        <w:rPr>
          <w:bCs/>
          <w:iCs/>
          <w:sz w:val="28"/>
          <w:szCs w:val="28"/>
        </w:rPr>
        <w:t xml:space="preserve"> līdzīgi piedāvājumi, Koledža izvēlas, ar kuru pretendentu slēgt līgumu.</w:t>
      </w:r>
    </w:p>
    <w:p w14:paraId="07E7B9CC" w14:textId="77777777" w:rsidR="00304F17" w:rsidRPr="00E41A1A" w:rsidRDefault="00D02419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J</w:t>
      </w:r>
      <w:r w:rsidR="00304F17" w:rsidRPr="00E41A1A">
        <w:rPr>
          <w:bCs/>
          <w:iCs/>
          <w:sz w:val="28"/>
          <w:szCs w:val="28"/>
        </w:rPr>
        <w:t>a pretendents nevar izpildīt visas tehniskas specifikācijas prasības, Koledža lemj par piespējām noslēgt ar pretendentu līgumu, vai turpina tirgus izpēti.</w:t>
      </w:r>
    </w:p>
    <w:p w14:paraId="5FCF7B8F" w14:textId="77777777" w:rsidR="00925D4E" w:rsidRPr="00E41A1A" w:rsidRDefault="00925D4E" w:rsidP="00925D4E">
      <w:pPr>
        <w:widowControl w:val="0"/>
        <w:ind w:right="-1" w:firstLine="720"/>
        <w:jc w:val="both"/>
        <w:rPr>
          <w:b/>
          <w:bCs/>
          <w:iCs/>
          <w:sz w:val="28"/>
          <w:szCs w:val="28"/>
        </w:rPr>
      </w:pPr>
      <w:r w:rsidRPr="00E41A1A">
        <w:rPr>
          <w:b/>
          <w:bCs/>
          <w:iCs/>
          <w:sz w:val="28"/>
          <w:szCs w:val="28"/>
        </w:rPr>
        <w:t>7.Pakalpojuma līgums</w:t>
      </w:r>
      <w:r w:rsidR="004C746E" w:rsidRPr="00E41A1A">
        <w:rPr>
          <w:b/>
          <w:bCs/>
          <w:iCs/>
          <w:sz w:val="28"/>
          <w:szCs w:val="28"/>
        </w:rPr>
        <w:t>, samaksas un garantijas noteikumi:</w:t>
      </w:r>
    </w:p>
    <w:p w14:paraId="35C3FC7C" w14:textId="77777777" w:rsidR="00925D4E" w:rsidRPr="00E41A1A" w:rsidRDefault="002960E5" w:rsidP="00925D4E">
      <w:pPr>
        <w:widowControl w:val="0"/>
        <w:ind w:right="-1" w:firstLine="720"/>
        <w:jc w:val="both"/>
        <w:rPr>
          <w:b/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Līguma forma un saturs tiek noteikts Pusēm vienojoties</w:t>
      </w:r>
      <w:r w:rsidR="003D652D" w:rsidRPr="00E41A1A">
        <w:rPr>
          <w:bCs/>
          <w:iCs/>
          <w:sz w:val="28"/>
          <w:szCs w:val="28"/>
        </w:rPr>
        <w:t xml:space="preserve">. Līguma paredzēts iekļaut normu, ka </w:t>
      </w:r>
      <w:r w:rsidR="0073496B" w:rsidRPr="00E41A1A">
        <w:rPr>
          <w:bCs/>
          <w:iCs/>
          <w:sz w:val="28"/>
          <w:szCs w:val="28"/>
        </w:rPr>
        <w:t>pakalpojumu sniedzējs apņemas nodrošināt vispārīgās datu aiz</w:t>
      </w:r>
      <w:r w:rsidR="003D652D" w:rsidRPr="00E41A1A">
        <w:rPr>
          <w:bCs/>
          <w:iCs/>
          <w:sz w:val="28"/>
          <w:szCs w:val="28"/>
        </w:rPr>
        <w:t>s</w:t>
      </w:r>
      <w:r w:rsidR="0073496B" w:rsidRPr="00E41A1A">
        <w:rPr>
          <w:bCs/>
          <w:iCs/>
          <w:sz w:val="28"/>
          <w:szCs w:val="28"/>
        </w:rPr>
        <w:t>ardzības</w:t>
      </w:r>
      <w:r w:rsidR="003D652D" w:rsidRPr="00E41A1A">
        <w:rPr>
          <w:bCs/>
          <w:iCs/>
          <w:sz w:val="28"/>
          <w:szCs w:val="28"/>
        </w:rPr>
        <w:t xml:space="preserve"> regulas prasību izpildi attiecībā uz izglītojamajiem, </w:t>
      </w:r>
      <w:r w:rsidRPr="00E41A1A">
        <w:rPr>
          <w:bCs/>
          <w:iCs/>
          <w:sz w:val="28"/>
          <w:szCs w:val="28"/>
        </w:rPr>
        <w:t>apmaks</w:t>
      </w:r>
      <w:r w:rsidR="003D652D" w:rsidRPr="00E41A1A">
        <w:rPr>
          <w:bCs/>
          <w:iCs/>
          <w:sz w:val="28"/>
          <w:szCs w:val="28"/>
        </w:rPr>
        <w:t>u paredzēts veikt</w:t>
      </w:r>
      <w:r w:rsidRPr="00E41A1A">
        <w:rPr>
          <w:bCs/>
          <w:iCs/>
          <w:sz w:val="28"/>
          <w:szCs w:val="28"/>
        </w:rPr>
        <w:t xml:space="preserve"> pa daļām pēc sniegtā pakalpojuma.</w:t>
      </w:r>
    </w:p>
    <w:p w14:paraId="3AB9EB3A" w14:textId="19660436" w:rsidR="00EC5559" w:rsidRDefault="00EC5559" w:rsidP="00EC5559">
      <w:pPr>
        <w:ind w:right="-2"/>
        <w:jc w:val="right"/>
        <w:rPr>
          <w:sz w:val="28"/>
          <w:szCs w:val="28"/>
        </w:rPr>
      </w:pPr>
    </w:p>
    <w:p w14:paraId="36D2B464" w14:textId="77777777" w:rsidR="008C08B5" w:rsidRDefault="008C08B5" w:rsidP="008C08B5">
      <w:pPr>
        <w:spacing w:before="6"/>
        <w:rPr>
          <w:bCs/>
          <w:iCs/>
          <w:sz w:val="28"/>
          <w:szCs w:val="28"/>
        </w:rPr>
      </w:pPr>
    </w:p>
    <w:p w14:paraId="4C5F37B2" w14:textId="77777777" w:rsidR="008C08B5" w:rsidRPr="00E41A1A" w:rsidRDefault="008C08B5" w:rsidP="008C08B5">
      <w:pPr>
        <w:spacing w:before="6"/>
        <w:rPr>
          <w:bCs/>
          <w:iCs/>
          <w:sz w:val="28"/>
          <w:szCs w:val="28"/>
        </w:rPr>
      </w:pPr>
    </w:p>
    <w:p w14:paraId="79BC46E2" w14:textId="77777777" w:rsidR="008C08B5" w:rsidRPr="00E41A1A" w:rsidRDefault="008C08B5" w:rsidP="00EC5559">
      <w:pPr>
        <w:ind w:right="-2"/>
        <w:jc w:val="right"/>
        <w:rPr>
          <w:sz w:val="28"/>
          <w:szCs w:val="28"/>
        </w:rPr>
      </w:pPr>
    </w:p>
    <w:p w14:paraId="0981E32B" w14:textId="77777777" w:rsidR="00EC5559" w:rsidRPr="00E41A1A" w:rsidRDefault="00EC5559" w:rsidP="00EC5559">
      <w:pPr>
        <w:ind w:right="-2"/>
        <w:jc w:val="right"/>
        <w:rPr>
          <w:sz w:val="28"/>
          <w:szCs w:val="28"/>
        </w:rPr>
      </w:pPr>
    </w:p>
    <w:p w14:paraId="56F4ACF4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039BFFA9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12ABA2E8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5D954DB6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43D31822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1451A21A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1AC47971" w14:textId="0983B012" w:rsidR="00DF630A" w:rsidRDefault="00DF630A" w:rsidP="00EC5559">
      <w:pPr>
        <w:ind w:right="-2"/>
        <w:jc w:val="right"/>
        <w:rPr>
          <w:sz w:val="28"/>
          <w:szCs w:val="28"/>
        </w:rPr>
      </w:pPr>
    </w:p>
    <w:p w14:paraId="1C065D49" w14:textId="189E839D" w:rsidR="000C62D9" w:rsidRDefault="000C62D9" w:rsidP="00EC5559">
      <w:pPr>
        <w:ind w:right="-2"/>
        <w:jc w:val="right"/>
        <w:rPr>
          <w:sz w:val="28"/>
          <w:szCs w:val="28"/>
        </w:rPr>
      </w:pPr>
    </w:p>
    <w:p w14:paraId="142BD52F" w14:textId="599D3888" w:rsidR="000C62D9" w:rsidRDefault="000C62D9" w:rsidP="00EC5559">
      <w:pPr>
        <w:ind w:right="-2"/>
        <w:jc w:val="right"/>
        <w:rPr>
          <w:sz w:val="28"/>
          <w:szCs w:val="28"/>
        </w:rPr>
      </w:pPr>
    </w:p>
    <w:p w14:paraId="7F8EA812" w14:textId="650341AB" w:rsidR="000C62D9" w:rsidRDefault="000C62D9" w:rsidP="00EC5559">
      <w:pPr>
        <w:ind w:right="-2"/>
        <w:jc w:val="right"/>
        <w:rPr>
          <w:sz w:val="28"/>
          <w:szCs w:val="28"/>
        </w:rPr>
      </w:pPr>
    </w:p>
    <w:p w14:paraId="48FB34D2" w14:textId="34E5F34C" w:rsidR="000C62D9" w:rsidRDefault="000C62D9" w:rsidP="00EC5559">
      <w:pPr>
        <w:ind w:right="-2"/>
        <w:jc w:val="right"/>
        <w:rPr>
          <w:sz w:val="28"/>
          <w:szCs w:val="28"/>
        </w:rPr>
      </w:pPr>
    </w:p>
    <w:p w14:paraId="74B37B28" w14:textId="23C3CEAC" w:rsidR="000C62D9" w:rsidRDefault="000C62D9" w:rsidP="00EC5559">
      <w:pPr>
        <w:ind w:right="-2"/>
        <w:jc w:val="right"/>
        <w:rPr>
          <w:sz w:val="28"/>
          <w:szCs w:val="28"/>
        </w:rPr>
      </w:pPr>
    </w:p>
    <w:p w14:paraId="29DC5282" w14:textId="13EA6487" w:rsidR="000C62D9" w:rsidRDefault="000C62D9" w:rsidP="00EC5559">
      <w:pPr>
        <w:ind w:right="-2"/>
        <w:jc w:val="right"/>
        <w:rPr>
          <w:sz w:val="28"/>
          <w:szCs w:val="28"/>
        </w:rPr>
      </w:pPr>
    </w:p>
    <w:p w14:paraId="221F4571" w14:textId="2B7CEDB3" w:rsidR="000C62D9" w:rsidRDefault="000C62D9" w:rsidP="00EC5559">
      <w:pPr>
        <w:ind w:right="-2"/>
        <w:jc w:val="right"/>
        <w:rPr>
          <w:sz w:val="28"/>
          <w:szCs w:val="28"/>
        </w:rPr>
      </w:pPr>
    </w:p>
    <w:p w14:paraId="72B7ACEA" w14:textId="77777777" w:rsidR="000C62D9" w:rsidRPr="00E41A1A" w:rsidRDefault="000C62D9" w:rsidP="00EC5559">
      <w:pPr>
        <w:ind w:right="-2"/>
        <w:jc w:val="right"/>
        <w:rPr>
          <w:sz w:val="28"/>
          <w:szCs w:val="28"/>
        </w:rPr>
      </w:pPr>
    </w:p>
    <w:p w14:paraId="7E73AE27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36ED00A9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3D3F1BDA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391C4679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0CC8665A" w14:textId="77777777" w:rsidR="00DF630A" w:rsidRPr="00E41A1A" w:rsidRDefault="00DF630A" w:rsidP="00EC5559">
      <w:pPr>
        <w:ind w:right="-2"/>
        <w:jc w:val="right"/>
        <w:rPr>
          <w:sz w:val="28"/>
          <w:szCs w:val="28"/>
        </w:rPr>
      </w:pPr>
    </w:p>
    <w:p w14:paraId="7F0B4EBA" w14:textId="77777777" w:rsidR="00304F17" w:rsidRPr="00E41A1A" w:rsidRDefault="00304F17" w:rsidP="00EC5559">
      <w:pPr>
        <w:ind w:right="-2"/>
        <w:jc w:val="right"/>
        <w:rPr>
          <w:sz w:val="28"/>
          <w:szCs w:val="28"/>
        </w:rPr>
      </w:pPr>
    </w:p>
    <w:p w14:paraId="6FD83313" w14:textId="77777777" w:rsidR="00304F17" w:rsidRPr="00E41A1A" w:rsidRDefault="00304F17" w:rsidP="00EC5559">
      <w:pPr>
        <w:ind w:right="-2"/>
        <w:jc w:val="right"/>
        <w:rPr>
          <w:sz w:val="28"/>
          <w:szCs w:val="28"/>
        </w:rPr>
      </w:pPr>
    </w:p>
    <w:p w14:paraId="542C4355" w14:textId="77777777" w:rsidR="00304F17" w:rsidRPr="00E41A1A" w:rsidRDefault="00304F17" w:rsidP="00EC5559">
      <w:pPr>
        <w:ind w:right="-2"/>
        <w:jc w:val="right"/>
        <w:rPr>
          <w:sz w:val="28"/>
          <w:szCs w:val="28"/>
        </w:rPr>
      </w:pPr>
    </w:p>
    <w:p w14:paraId="411FEF37" w14:textId="77777777" w:rsidR="00304F17" w:rsidRPr="00E41A1A" w:rsidRDefault="00304F17" w:rsidP="00EC5559">
      <w:pPr>
        <w:ind w:right="-2"/>
        <w:jc w:val="right"/>
        <w:rPr>
          <w:sz w:val="28"/>
          <w:szCs w:val="28"/>
        </w:rPr>
      </w:pPr>
    </w:p>
    <w:p w14:paraId="0128FAEF" w14:textId="77777777" w:rsidR="00304F17" w:rsidRPr="00E41A1A" w:rsidRDefault="00304F17" w:rsidP="00EC5559">
      <w:pPr>
        <w:ind w:right="-2"/>
        <w:jc w:val="right"/>
        <w:rPr>
          <w:sz w:val="28"/>
          <w:szCs w:val="28"/>
        </w:rPr>
      </w:pPr>
    </w:p>
    <w:p w14:paraId="1C2F5029" w14:textId="77777777" w:rsidR="00304F17" w:rsidRPr="00E41A1A" w:rsidRDefault="00304F17" w:rsidP="00EC5559">
      <w:pPr>
        <w:ind w:right="-2"/>
        <w:jc w:val="right"/>
        <w:rPr>
          <w:sz w:val="28"/>
          <w:szCs w:val="28"/>
        </w:rPr>
      </w:pPr>
    </w:p>
    <w:p w14:paraId="5E22E440" w14:textId="6A80290D" w:rsidR="00304F17" w:rsidRDefault="00304F17" w:rsidP="00EC5559">
      <w:pPr>
        <w:ind w:right="-2"/>
        <w:jc w:val="right"/>
        <w:rPr>
          <w:sz w:val="28"/>
          <w:szCs w:val="28"/>
        </w:rPr>
      </w:pPr>
    </w:p>
    <w:p w14:paraId="51B3C8F0" w14:textId="77777777" w:rsidR="00104791" w:rsidRPr="00E41A1A" w:rsidRDefault="00104791" w:rsidP="00EC5559">
      <w:pPr>
        <w:ind w:right="-2"/>
        <w:jc w:val="right"/>
        <w:rPr>
          <w:sz w:val="28"/>
          <w:szCs w:val="28"/>
        </w:rPr>
      </w:pPr>
    </w:p>
    <w:p w14:paraId="7B9B48CB" w14:textId="0C2FBF6C" w:rsidR="00304F17" w:rsidRDefault="00304F17" w:rsidP="00EC5559">
      <w:pPr>
        <w:ind w:right="-2"/>
        <w:jc w:val="right"/>
        <w:rPr>
          <w:sz w:val="28"/>
          <w:szCs w:val="28"/>
        </w:rPr>
      </w:pPr>
    </w:p>
    <w:p w14:paraId="1ECF5765" w14:textId="62BB28D6" w:rsidR="000C62D9" w:rsidRDefault="000C62D9" w:rsidP="00EC5559">
      <w:pPr>
        <w:ind w:right="-2"/>
        <w:jc w:val="right"/>
        <w:rPr>
          <w:sz w:val="28"/>
          <w:szCs w:val="28"/>
        </w:rPr>
      </w:pPr>
    </w:p>
    <w:p w14:paraId="2E8F03C6" w14:textId="3B256402" w:rsidR="00304F17" w:rsidRPr="00E41A1A" w:rsidRDefault="00304F17" w:rsidP="008C08B5">
      <w:pPr>
        <w:ind w:right="-2"/>
        <w:rPr>
          <w:sz w:val="28"/>
          <w:szCs w:val="28"/>
        </w:rPr>
      </w:pPr>
    </w:p>
    <w:p w14:paraId="3F909820" w14:textId="77777777" w:rsidR="00304F17" w:rsidRPr="00E41A1A" w:rsidRDefault="00304F17" w:rsidP="00EC5559">
      <w:pPr>
        <w:ind w:right="-2"/>
        <w:jc w:val="right"/>
        <w:rPr>
          <w:sz w:val="28"/>
          <w:szCs w:val="28"/>
        </w:rPr>
      </w:pPr>
    </w:p>
    <w:p w14:paraId="345DC6E1" w14:textId="77777777" w:rsidR="004C746E" w:rsidRPr="00E41A1A" w:rsidRDefault="004C746E" w:rsidP="004C746E">
      <w:pPr>
        <w:jc w:val="right"/>
        <w:rPr>
          <w:rFonts w:cs="Times New Roman"/>
        </w:rPr>
      </w:pPr>
      <w:r w:rsidRPr="00E41A1A">
        <w:rPr>
          <w:sz w:val="28"/>
          <w:szCs w:val="28"/>
        </w:rPr>
        <w:t xml:space="preserve">1.pielikums                                                                                                                </w:t>
      </w:r>
      <w:r w:rsidR="00466598" w:rsidRPr="00E41A1A">
        <w:rPr>
          <w:sz w:val="28"/>
          <w:szCs w:val="28"/>
        </w:rPr>
        <w:t>u</w:t>
      </w:r>
      <w:r w:rsidR="00466598" w:rsidRPr="00E41A1A">
        <w:t>zaicinājumam dalībai t</w:t>
      </w:r>
      <w:r w:rsidRPr="00E41A1A">
        <w:rPr>
          <w:rFonts w:cs="Times New Roman"/>
        </w:rPr>
        <w:t>irgus izpēt</w:t>
      </w:r>
      <w:r w:rsidR="00466598" w:rsidRPr="00E41A1A">
        <w:rPr>
          <w:rFonts w:cs="Times New Roman"/>
        </w:rPr>
        <w:t xml:space="preserve">ē </w:t>
      </w:r>
      <w:r w:rsidRPr="00E41A1A">
        <w:rPr>
          <w:rFonts w:cs="Times New Roman"/>
        </w:rPr>
        <w:t>iepirkumam</w:t>
      </w:r>
    </w:p>
    <w:p w14:paraId="0CA365A8" w14:textId="77777777" w:rsidR="004C746E" w:rsidRPr="00E41A1A" w:rsidRDefault="004C746E" w:rsidP="004C746E">
      <w:pPr>
        <w:jc w:val="right"/>
      </w:pPr>
      <w:r w:rsidRPr="00E41A1A">
        <w:t>“</w:t>
      </w:r>
      <w:r w:rsidR="002960E5" w:rsidRPr="00E41A1A">
        <w:t xml:space="preserve">Angļu valoda </w:t>
      </w:r>
      <w:r w:rsidR="00A8609D" w:rsidRPr="00E41A1A">
        <w:t xml:space="preserve">Valsts policijas teritoriālo pārvalžu </w:t>
      </w:r>
      <w:r w:rsidR="002960E5" w:rsidRPr="00E41A1A">
        <w:t>vadībai</w:t>
      </w:r>
      <w:r w:rsidRPr="00E41A1A">
        <w:t>”</w:t>
      </w:r>
    </w:p>
    <w:p w14:paraId="737F8F2E" w14:textId="77777777" w:rsidR="00B24CC8" w:rsidRPr="00E41A1A" w:rsidRDefault="00B24CC8" w:rsidP="001A2A7E">
      <w:pPr>
        <w:ind w:right="1134"/>
        <w:jc w:val="center"/>
        <w:rPr>
          <w:rFonts w:cs="Times New Roman"/>
          <w:b/>
          <w:sz w:val="32"/>
          <w:szCs w:val="32"/>
        </w:rPr>
      </w:pPr>
    </w:p>
    <w:p w14:paraId="7FA4DDE7" w14:textId="77777777" w:rsidR="004C746E" w:rsidRPr="00E41A1A" w:rsidRDefault="004C746E" w:rsidP="001A2A7E">
      <w:pPr>
        <w:ind w:right="1134"/>
        <w:jc w:val="center"/>
        <w:rPr>
          <w:rFonts w:cs="Times New Roman"/>
          <w:b/>
          <w:sz w:val="32"/>
          <w:szCs w:val="32"/>
        </w:rPr>
      </w:pPr>
      <w:r w:rsidRPr="00E41A1A">
        <w:rPr>
          <w:rFonts w:cs="Times New Roman"/>
          <w:b/>
          <w:sz w:val="32"/>
          <w:szCs w:val="32"/>
        </w:rPr>
        <w:t>Tehniskā specifikācija</w:t>
      </w:r>
    </w:p>
    <w:p w14:paraId="72E1F368" w14:textId="77777777" w:rsidR="001A2A7E" w:rsidRPr="00E41A1A" w:rsidRDefault="004C746E" w:rsidP="001A2A7E">
      <w:pPr>
        <w:ind w:right="1134"/>
        <w:jc w:val="center"/>
        <w:rPr>
          <w:rFonts w:cs="Times New Roman"/>
          <w:sz w:val="28"/>
          <w:szCs w:val="28"/>
        </w:rPr>
      </w:pPr>
      <w:r w:rsidRPr="00E41A1A">
        <w:rPr>
          <w:bCs/>
          <w:sz w:val="28"/>
          <w:szCs w:val="28"/>
        </w:rPr>
        <w:t xml:space="preserve">dalībai </w:t>
      </w:r>
      <w:r w:rsidRPr="00E41A1A">
        <w:rPr>
          <w:rFonts w:cs="Times New Roman"/>
          <w:sz w:val="28"/>
          <w:szCs w:val="28"/>
        </w:rPr>
        <w:t>tirgus izpētē iepirkumam</w:t>
      </w:r>
    </w:p>
    <w:p w14:paraId="6143CCCC" w14:textId="77777777" w:rsidR="00C93987" w:rsidRPr="00E41A1A" w:rsidRDefault="0043363A" w:rsidP="00C93987">
      <w:pPr>
        <w:ind w:right="1134"/>
        <w:jc w:val="center"/>
        <w:rPr>
          <w:rFonts w:cs="Times New Roman"/>
          <w:sz w:val="28"/>
          <w:szCs w:val="28"/>
        </w:rPr>
      </w:pPr>
      <w:r w:rsidRPr="00E41A1A">
        <w:rPr>
          <w:sz w:val="28"/>
          <w:szCs w:val="28"/>
        </w:rPr>
        <w:t>“Angļu valoda Valsts policijas teritoriālo pārvalžu vadībai”</w:t>
      </w:r>
    </w:p>
    <w:p w14:paraId="01149D3B" w14:textId="77777777" w:rsidR="00D5210E" w:rsidRPr="00E41A1A" w:rsidRDefault="00D5210E" w:rsidP="00C93987">
      <w:pPr>
        <w:ind w:right="1134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0EE0A239" w14:textId="7828F60A" w:rsidR="0032318F" w:rsidRPr="00915CD0" w:rsidRDefault="0032318F" w:rsidP="0032318F">
      <w:pPr>
        <w:ind w:right="1134"/>
        <w:jc w:val="both"/>
        <w:rPr>
          <w:rFonts w:cs="Times New Roman"/>
          <w:bCs/>
          <w:sz w:val="28"/>
          <w:szCs w:val="28"/>
        </w:rPr>
      </w:pPr>
      <w:r w:rsidRPr="00053317">
        <w:rPr>
          <w:rFonts w:cs="Times New Roman"/>
          <w:bCs/>
          <w:sz w:val="27"/>
          <w:szCs w:val="27"/>
        </w:rPr>
        <w:tab/>
      </w:r>
      <w:r w:rsidRPr="00915CD0">
        <w:rPr>
          <w:rFonts w:cs="Times New Roman"/>
          <w:bCs/>
          <w:sz w:val="28"/>
          <w:szCs w:val="28"/>
        </w:rPr>
        <w:t>Valodu apmācība tiek nodrošināta Valsts policijas amatpersonām atsevišķ</w:t>
      </w:r>
      <w:r w:rsidR="00EA52E9" w:rsidRPr="00915CD0">
        <w:rPr>
          <w:rFonts w:cs="Times New Roman"/>
          <w:bCs/>
          <w:sz w:val="28"/>
          <w:szCs w:val="28"/>
        </w:rPr>
        <w:t>ā</w:t>
      </w:r>
      <w:r w:rsidRPr="00915CD0">
        <w:rPr>
          <w:rFonts w:cs="Times New Roman"/>
          <w:bCs/>
          <w:sz w:val="28"/>
          <w:szCs w:val="28"/>
        </w:rPr>
        <w:t xml:space="preserve">s grupās. </w:t>
      </w:r>
      <w:r w:rsidR="0057246A" w:rsidRPr="00915CD0">
        <w:rPr>
          <w:rFonts w:cs="Times New Roman"/>
          <w:bCs/>
          <w:sz w:val="28"/>
          <w:szCs w:val="28"/>
        </w:rPr>
        <w:t xml:space="preserve">Kopējais prognozējamais apmācāmo skaits – </w:t>
      </w:r>
      <w:r w:rsidR="00B37043">
        <w:rPr>
          <w:rFonts w:cs="Times New Roman"/>
          <w:bCs/>
          <w:sz w:val="28"/>
          <w:szCs w:val="28"/>
        </w:rPr>
        <w:t>4</w:t>
      </w:r>
      <w:r w:rsidR="00E70DC1" w:rsidRPr="00915CD0">
        <w:rPr>
          <w:rFonts w:cs="Times New Roman"/>
          <w:bCs/>
          <w:sz w:val="28"/>
          <w:szCs w:val="28"/>
        </w:rPr>
        <w:t>0</w:t>
      </w:r>
      <w:r w:rsidR="0057246A" w:rsidRPr="00915CD0">
        <w:rPr>
          <w:rFonts w:cs="Times New Roman"/>
          <w:bCs/>
          <w:sz w:val="28"/>
          <w:szCs w:val="28"/>
        </w:rPr>
        <w:t xml:space="preserve">. </w:t>
      </w:r>
      <w:r w:rsidR="003115C9" w:rsidRPr="00915CD0">
        <w:rPr>
          <w:rFonts w:cs="Times New Roman"/>
          <w:bCs/>
          <w:sz w:val="28"/>
          <w:szCs w:val="28"/>
        </w:rPr>
        <w:t>M</w:t>
      </w:r>
      <w:r w:rsidR="0057246A" w:rsidRPr="00915CD0">
        <w:rPr>
          <w:rFonts w:cs="Times New Roman"/>
          <w:bCs/>
          <w:sz w:val="28"/>
          <w:szCs w:val="28"/>
        </w:rPr>
        <w:t xml:space="preserve">ācības </w:t>
      </w:r>
      <w:r w:rsidR="003115C9" w:rsidRPr="00915CD0">
        <w:rPr>
          <w:rFonts w:cs="Times New Roman"/>
          <w:bCs/>
          <w:sz w:val="28"/>
          <w:szCs w:val="28"/>
        </w:rPr>
        <w:t xml:space="preserve">nodrošinātas </w:t>
      </w:r>
      <w:r w:rsidR="0057246A" w:rsidRPr="00915CD0">
        <w:rPr>
          <w:rFonts w:cs="Times New Roman"/>
          <w:bCs/>
          <w:sz w:val="28"/>
          <w:szCs w:val="28"/>
        </w:rPr>
        <w:t>attālināti</w:t>
      </w:r>
      <w:r w:rsidR="00E70DC1" w:rsidRPr="00915CD0">
        <w:rPr>
          <w:rFonts w:cs="Times New Roman"/>
          <w:bCs/>
          <w:sz w:val="28"/>
          <w:szCs w:val="28"/>
        </w:rPr>
        <w:t xml:space="preserve">, izmantojot </w:t>
      </w:r>
      <w:proofErr w:type="spellStart"/>
      <w:r w:rsidR="00E70DC1" w:rsidRPr="00915CD0">
        <w:rPr>
          <w:rFonts w:cs="Times New Roman"/>
          <w:bCs/>
          <w:sz w:val="28"/>
          <w:szCs w:val="28"/>
        </w:rPr>
        <w:t>tiešsaites</w:t>
      </w:r>
      <w:proofErr w:type="spellEnd"/>
      <w:r w:rsidR="00E70DC1" w:rsidRPr="00915CD0">
        <w:rPr>
          <w:rFonts w:cs="Times New Roman"/>
          <w:bCs/>
          <w:sz w:val="28"/>
          <w:szCs w:val="28"/>
        </w:rPr>
        <w:t xml:space="preserve"> platformas </w:t>
      </w:r>
      <w:proofErr w:type="spellStart"/>
      <w:r w:rsidR="00E70DC1" w:rsidRPr="00915CD0">
        <w:rPr>
          <w:rFonts w:cs="Times New Roman"/>
          <w:bCs/>
          <w:sz w:val="28"/>
          <w:szCs w:val="28"/>
        </w:rPr>
        <w:t>Zoom</w:t>
      </w:r>
      <w:proofErr w:type="spellEnd"/>
      <w:r w:rsidR="00E70DC1" w:rsidRPr="00915CD0">
        <w:rPr>
          <w:rFonts w:cs="Times New Roman"/>
          <w:bCs/>
          <w:sz w:val="28"/>
          <w:szCs w:val="28"/>
        </w:rPr>
        <w:t xml:space="preserve"> vai Cisco </w:t>
      </w:r>
      <w:proofErr w:type="spellStart"/>
      <w:r w:rsidR="00E70DC1" w:rsidRPr="00915CD0">
        <w:rPr>
          <w:rFonts w:cs="Times New Roman"/>
          <w:bCs/>
          <w:sz w:val="28"/>
          <w:szCs w:val="28"/>
        </w:rPr>
        <w:t>Webex</w:t>
      </w:r>
      <w:proofErr w:type="spellEnd"/>
      <w:r w:rsidR="0057246A" w:rsidRPr="00915CD0">
        <w:rPr>
          <w:rFonts w:cs="Times New Roman"/>
          <w:bCs/>
          <w:sz w:val="28"/>
          <w:szCs w:val="28"/>
        </w:rPr>
        <w:t xml:space="preserve">. </w:t>
      </w:r>
      <w:r w:rsidR="00B706E6" w:rsidRPr="00915CD0">
        <w:rPr>
          <w:bCs/>
          <w:iCs/>
          <w:sz w:val="28"/>
          <w:szCs w:val="28"/>
        </w:rPr>
        <w:t>Attālināto platformu lietošana ir iekļauta cenā.</w:t>
      </w:r>
      <w:r w:rsidR="003115C9" w:rsidRPr="00915CD0">
        <w:rPr>
          <w:bCs/>
          <w:iCs/>
          <w:sz w:val="28"/>
          <w:szCs w:val="28"/>
        </w:rPr>
        <w:t xml:space="preserve"> Mācību grāmatu (dažādu)</w:t>
      </w:r>
      <w:r w:rsidR="00915CD0" w:rsidRPr="00915CD0">
        <w:rPr>
          <w:bCs/>
          <w:iCs/>
          <w:sz w:val="28"/>
          <w:szCs w:val="28"/>
        </w:rPr>
        <w:t>, ja nepieciešamas,</w:t>
      </w:r>
      <w:r w:rsidR="003115C9" w:rsidRPr="00915CD0">
        <w:rPr>
          <w:bCs/>
          <w:iCs/>
          <w:sz w:val="28"/>
          <w:szCs w:val="28"/>
        </w:rPr>
        <w:t xml:space="preserve"> lietošana iekļauta cenā. </w:t>
      </w:r>
      <w:r w:rsidRPr="00915CD0">
        <w:rPr>
          <w:rFonts w:cs="Times New Roman"/>
          <w:bCs/>
          <w:sz w:val="28"/>
          <w:szCs w:val="28"/>
        </w:rPr>
        <w:t>Katrā grupā var būt no 2 līdz 10 cilvēki.</w:t>
      </w:r>
      <w:r w:rsidR="00E323F9" w:rsidRPr="00915CD0">
        <w:rPr>
          <w:rFonts w:cs="Times New Roman"/>
          <w:bCs/>
          <w:sz w:val="28"/>
          <w:szCs w:val="28"/>
        </w:rPr>
        <w:t xml:space="preserve"> </w:t>
      </w:r>
    </w:p>
    <w:p w14:paraId="12D24D70" w14:textId="6E951700" w:rsidR="00E323F9" w:rsidRPr="00915CD0" w:rsidRDefault="00EA52E9" w:rsidP="00E323F9">
      <w:pPr>
        <w:ind w:right="1134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ab/>
      </w:r>
      <w:r w:rsidR="00E323F9" w:rsidRPr="00915CD0">
        <w:rPr>
          <w:rFonts w:cs="Times New Roman"/>
          <w:bCs/>
          <w:sz w:val="28"/>
          <w:szCs w:val="28"/>
        </w:rPr>
        <w:t>Mācības notiek ne vairāk kā 2 akadēmiskās stundas dienā.</w:t>
      </w:r>
    </w:p>
    <w:p w14:paraId="28F16E1F" w14:textId="77777777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>Pirms mācību uzsākšanas apmācāmie tiek testēti – pārbaudītas viņu angļu valodas priekšzināšanas. Atkarībā no testu rezultātiem, tiek noteikts, kāda valodas apguves līmeņa apmācības ir nepieciešamas.</w:t>
      </w:r>
      <w:r w:rsidR="00CE7020" w:rsidRPr="00915CD0">
        <w:rPr>
          <w:sz w:val="28"/>
          <w:szCs w:val="28"/>
        </w:rPr>
        <w:t xml:space="preserve"> Atbilstoši tiek izveidotas apmācāmo grupas</w:t>
      </w:r>
      <w:r w:rsidR="00CE7020" w:rsidRPr="00915CD0">
        <w:rPr>
          <w:rFonts w:cs="Times New Roman"/>
          <w:bCs/>
          <w:sz w:val="28"/>
          <w:szCs w:val="28"/>
        </w:rPr>
        <w:t>, ņemot vērā viņu valodas zināšanas, iemaņas un valodas apguves pakāpi, izmantojot kritērijus, kas ir definēti Eiropas kopīgajās pamatnostādnēs valodu apguvei.</w:t>
      </w:r>
    </w:p>
    <w:p w14:paraId="511A6A16" w14:textId="77777777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>Apmācāmie var apgūt un pretendents var nodrošināt sekojošus valodas apmācības līmeņus:</w:t>
      </w:r>
    </w:p>
    <w:p w14:paraId="7D64AB20" w14:textId="77777777" w:rsidR="00EA52E9" w:rsidRPr="00915CD0" w:rsidRDefault="00EA52E9" w:rsidP="00EA52E9">
      <w:pPr>
        <w:ind w:right="1134" w:firstLine="720"/>
        <w:jc w:val="both"/>
        <w:rPr>
          <w:rFonts w:cs="Times New Roman"/>
          <w:b/>
          <w:bCs/>
          <w:sz w:val="28"/>
          <w:szCs w:val="28"/>
        </w:rPr>
      </w:pPr>
      <w:r w:rsidRPr="00915CD0">
        <w:rPr>
          <w:rFonts w:cs="Times New Roman"/>
          <w:b/>
          <w:bCs/>
          <w:sz w:val="28"/>
          <w:szCs w:val="28"/>
        </w:rPr>
        <w:t xml:space="preserve">A: </w:t>
      </w:r>
      <w:proofErr w:type="spellStart"/>
      <w:r w:rsidRPr="00915CD0">
        <w:rPr>
          <w:rFonts w:cs="Times New Roman"/>
          <w:b/>
          <w:bCs/>
          <w:sz w:val="28"/>
          <w:szCs w:val="28"/>
        </w:rPr>
        <w:t>pamatlīmenis</w:t>
      </w:r>
      <w:proofErr w:type="spellEnd"/>
    </w:p>
    <w:p w14:paraId="1A05E25D" w14:textId="77777777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>A1 – iesācēju līmenis (</w:t>
      </w:r>
      <w:proofErr w:type="spellStart"/>
      <w:r w:rsidRPr="00915CD0">
        <w:rPr>
          <w:rFonts w:cs="Times New Roman"/>
          <w:bCs/>
          <w:sz w:val="28"/>
          <w:szCs w:val="28"/>
        </w:rPr>
        <w:t>Breakthrough</w:t>
      </w:r>
      <w:proofErr w:type="spellEnd"/>
      <w:r w:rsidRPr="00915CD0">
        <w:rPr>
          <w:rFonts w:cs="Times New Roman"/>
          <w:bCs/>
          <w:sz w:val="28"/>
          <w:szCs w:val="28"/>
        </w:rPr>
        <w:t xml:space="preserve"> jeb </w:t>
      </w:r>
      <w:proofErr w:type="spellStart"/>
      <w:r w:rsidRPr="00915CD0">
        <w:rPr>
          <w:rFonts w:cs="Times New Roman"/>
          <w:bCs/>
          <w:sz w:val="28"/>
          <w:szCs w:val="28"/>
        </w:rPr>
        <w:t>Beginners</w:t>
      </w:r>
      <w:proofErr w:type="spellEnd"/>
      <w:r w:rsidRPr="00915CD0">
        <w:rPr>
          <w:rFonts w:cs="Times New Roman"/>
          <w:bCs/>
          <w:sz w:val="28"/>
          <w:szCs w:val="28"/>
        </w:rPr>
        <w:t>)</w:t>
      </w:r>
    </w:p>
    <w:p w14:paraId="6EC9C773" w14:textId="77777777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>A2 – elementārais līmenis (</w:t>
      </w:r>
      <w:proofErr w:type="spellStart"/>
      <w:r w:rsidRPr="00915CD0">
        <w:rPr>
          <w:rFonts w:cs="Times New Roman"/>
          <w:bCs/>
          <w:sz w:val="28"/>
          <w:szCs w:val="28"/>
        </w:rPr>
        <w:t>Waystage</w:t>
      </w:r>
      <w:proofErr w:type="spellEnd"/>
      <w:r w:rsidRPr="00915CD0">
        <w:rPr>
          <w:rFonts w:cs="Times New Roman"/>
          <w:bCs/>
          <w:sz w:val="28"/>
          <w:szCs w:val="28"/>
        </w:rPr>
        <w:t xml:space="preserve"> jeb </w:t>
      </w:r>
      <w:proofErr w:type="spellStart"/>
      <w:r w:rsidRPr="00915CD0">
        <w:rPr>
          <w:rFonts w:cs="Times New Roman"/>
          <w:bCs/>
          <w:sz w:val="28"/>
          <w:szCs w:val="28"/>
        </w:rPr>
        <w:t>Elementary</w:t>
      </w:r>
      <w:proofErr w:type="spellEnd"/>
      <w:r w:rsidRPr="00915CD0">
        <w:rPr>
          <w:rFonts w:cs="Times New Roman"/>
          <w:bCs/>
          <w:sz w:val="28"/>
          <w:szCs w:val="28"/>
        </w:rPr>
        <w:t>)</w:t>
      </w:r>
    </w:p>
    <w:p w14:paraId="4DF5736C" w14:textId="77777777" w:rsidR="00EA52E9" w:rsidRPr="00915CD0" w:rsidRDefault="00EA52E9" w:rsidP="00EA52E9">
      <w:pPr>
        <w:ind w:right="1134" w:firstLine="720"/>
        <w:jc w:val="both"/>
        <w:rPr>
          <w:rFonts w:cs="Times New Roman"/>
          <w:b/>
          <w:bCs/>
          <w:sz w:val="28"/>
          <w:szCs w:val="28"/>
        </w:rPr>
      </w:pPr>
      <w:r w:rsidRPr="00915CD0">
        <w:rPr>
          <w:rFonts w:cs="Times New Roman"/>
          <w:b/>
          <w:bCs/>
          <w:sz w:val="28"/>
          <w:szCs w:val="28"/>
        </w:rPr>
        <w:t>B: vidējais līmenis</w:t>
      </w:r>
    </w:p>
    <w:p w14:paraId="5C59DEC2" w14:textId="77777777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>B1 – zemāks par vidējo līmeni (</w:t>
      </w:r>
      <w:proofErr w:type="spellStart"/>
      <w:r w:rsidRPr="00915CD0">
        <w:rPr>
          <w:rFonts w:cs="Times New Roman"/>
          <w:bCs/>
          <w:sz w:val="28"/>
          <w:szCs w:val="28"/>
        </w:rPr>
        <w:t>Threshold</w:t>
      </w:r>
      <w:proofErr w:type="spellEnd"/>
      <w:r w:rsidRPr="00915CD0">
        <w:rPr>
          <w:rFonts w:cs="Times New Roman"/>
          <w:bCs/>
          <w:sz w:val="28"/>
          <w:szCs w:val="28"/>
        </w:rPr>
        <w:t xml:space="preserve"> jeb </w:t>
      </w:r>
      <w:proofErr w:type="spellStart"/>
      <w:r w:rsidRPr="00915CD0">
        <w:rPr>
          <w:rFonts w:cs="Times New Roman"/>
          <w:bCs/>
          <w:sz w:val="28"/>
          <w:szCs w:val="28"/>
        </w:rPr>
        <w:t>Pre-Intermediate</w:t>
      </w:r>
      <w:proofErr w:type="spellEnd"/>
      <w:r w:rsidRPr="00915CD0">
        <w:rPr>
          <w:rFonts w:cs="Times New Roman"/>
          <w:bCs/>
          <w:sz w:val="28"/>
          <w:szCs w:val="28"/>
        </w:rPr>
        <w:t>)</w:t>
      </w:r>
    </w:p>
    <w:p w14:paraId="7EC3A139" w14:textId="77777777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>B2 – vidējais līmenis (</w:t>
      </w:r>
      <w:proofErr w:type="spellStart"/>
      <w:r w:rsidRPr="00915CD0">
        <w:rPr>
          <w:rFonts w:cs="Times New Roman"/>
          <w:bCs/>
          <w:sz w:val="28"/>
          <w:szCs w:val="28"/>
        </w:rPr>
        <w:t>Vantage</w:t>
      </w:r>
      <w:proofErr w:type="spellEnd"/>
      <w:r w:rsidRPr="00915CD0">
        <w:rPr>
          <w:rFonts w:cs="Times New Roman"/>
          <w:bCs/>
          <w:sz w:val="28"/>
          <w:szCs w:val="28"/>
        </w:rPr>
        <w:t xml:space="preserve"> jeb </w:t>
      </w:r>
      <w:proofErr w:type="spellStart"/>
      <w:r w:rsidRPr="00915CD0">
        <w:rPr>
          <w:rFonts w:cs="Times New Roman"/>
          <w:bCs/>
          <w:sz w:val="28"/>
          <w:szCs w:val="28"/>
        </w:rPr>
        <w:t>Upper-Intermediate</w:t>
      </w:r>
      <w:proofErr w:type="spellEnd"/>
      <w:r w:rsidRPr="00915CD0">
        <w:rPr>
          <w:rFonts w:cs="Times New Roman"/>
          <w:bCs/>
          <w:sz w:val="28"/>
          <w:szCs w:val="28"/>
        </w:rPr>
        <w:t>)</w:t>
      </w:r>
    </w:p>
    <w:p w14:paraId="320D055D" w14:textId="77777777" w:rsidR="00EA52E9" w:rsidRPr="00915CD0" w:rsidRDefault="00EA52E9" w:rsidP="00EA52E9">
      <w:pPr>
        <w:ind w:right="1134" w:firstLine="720"/>
        <w:jc w:val="both"/>
        <w:rPr>
          <w:rFonts w:cs="Times New Roman"/>
          <w:b/>
          <w:bCs/>
          <w:sz w:val="28"/>
          <w:szCs w:val="28"/>
        </w:rPr>
      </w:pPr>
      <w:r w:rsidRPr="00915CD0">
        <w:rPr>
          <w:rFonts w:cs="Times New Roman"/>
          <w:b/>
          <w:bCs/>
          <w:sz w:val="28"/>
          <w:szCs w:val="28"/>
        </w:rPr>
        <w:t>C: augstākais līmenis</w:t>
      </w:r>
    </w:p>
    <w:p w14:paraId="38938BCA" w14:textId="77777777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>C1 – augstāks par vidējo līmeni (</w:t>
      </w:r>
      <w:proofErr w:type="spellStart"/>
      <w:r w:rsidRPr="00915CD0">
        <w:rPr>
          <w:rFonts w:cs="Times New Roman"/>
          <w:bCs/>
          <w:sz w:val="28"/>
          <w:szCs w:val="28"/>
        </w:rPr>
        <w:t>Effective</w:t>
      </w:r>
      <w:proofErr w:type="spellEnd"/>
      <w:r w:rsidRPr="00915CD0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15CD0">
        <w:rPr>
          <w:rFonts w:cs="Times New Roman"/>
          <w:bCs/>
          <w:sz w:val="28"/>
          <w:szCs w:val="28"/>
        </w:rPr>
        <w:t>Operational</w:t>
      </w:r>
      <w:proofErr w:type="spellEnd"/>
      <w:r w:rsidRPr="00915CD0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15CD0">
        <w:rPr>
          <w:rFonts w:cs="Times New Roman"/>
          <w:bCs/>
          <w:sz w:val="28"/>
          <w:szCs w:val="28"/>
        </w:rPr>
        <w:t>Proficiency</w:t>
      </w:r>
      <w:proofErr w:type="spellEnd"/>
      <w:r w:rsidRPr="00915CD0">
        <w:rPr>
          <w:rFonts w:cs="Times New Roman"/>
          <w:bCs/>
          <w:sz w:val="28"/>
          <w:szCs w:val="28"/>
        </w:rPr>
        <w:t xml:space="preserve"> jeb </w:t>
      </w:r>
      <w:proofErr w:type="spellStart"/>
      <w:r w:rsidRPr="00915CD0">
        <w:rPr>
          <w:rFonts w:cs="Times New Roman"/>
          <w:bCs/>
          <w:sz w:val="28"/>
          <w:szCs w:val="28"/>
        </w:rPr>
        <w:t>Advanced</w:t>
      </w:r>
      <w:proofErr w:type="spellEnd"/>
      <w:r w:rsidRPr="00915CD0">
        <w:rPr>
          <w:rFonts w:cs="Times New Roman"/>
          <w:bCs/>
          <w:sz w:val="28"/>
          <w:szCs w:val="28"/>
        </w:rPr>
        <w:t>)</w:t>
      </w:r>
    </w:p>
    <w:p w14:paraId="0F669768" w14:textId="77777777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>C2 –  eksperta līmenis (</w:t>
      </w:r>
      <w:proofErr w:type="spellStart"/>
      <w:r w:rsidRPr="00915CD0">
        <w:rPr>
          <w:rFonts w:cs="Times New Roman"/>
          <w:bCs/>
          <w:sz w:val="28"/>
          <w:szCs w:val="28"/>
        </w:rPr>
        <w:t>Mastery</w:t>
      </w:r>
      <w:proofErr w:type="spellEnd"/>
      <w:r w:rsidRPr="00915CD0">
        <w:rPr>
          <w:rFonts w:cs="Times New Roman"/>
          <w:bCs/>
          <w:sz w:val="28"/>
          <w:szCs w:val="28"/>
        </w:rPr>
        <w:t xml:space="preserve"> jeb </w:t>
      </w:r>
      <w:proofErr w:type="spellStart"/>
      <w:r w:rsidRPr="00915CD0">
        <w:rPr>
          <w:rFonts w:cs="Times New Roman"/>
          <w:bCs/>
          <w:sz w:val="28"/>
          <w:szCs w:val="28"/>
        </w:rPr>
        <w:t>Proficiency</w:t>
      </w:r>
      <w:proofErr w:type="spellEnd"/>
      <w:r w:rsidRPr="00915CD0">
        <w:rPr>
          <w:rFonts w:cs="Times New Roman"/>
          <w:bCs/>
          <w:sz w:val="28"/>
          <w:szCs w:val="28"/>
        </w:rPr>
        <w:t>).</w:t>
      </w:r>
    </w:p>
    <w:p w14:paraId="6DCB2E25" w14:textId="77777777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</w:p>
    <w:p w14:paraId="26B63894" w14:textId="095DBDC7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>Pretendentam</w:t>
      </w:r>
      <w:r w:rsidR="009658DD" w:rsidRPr="00915CD0">
        <w:rPr>
          <w:rFonts w:cs="Times New Roman"/>
          <w:bCs/>
          <w:sz w:val="28"/>
          <w:szCs w:val="28"/>
        </w:rPr>
        <w:t xml:space="preserve"> atbilstoši Izglītības likumam ir </w:t>
      </w:r>
      <w:r w:rsidRPr="00915CD0">
        <w:rPr>
          <w:rFonts w:cs="Times New Roman"/>
          <w:bCs/>
          <w:sz w:val="28"/>
          <w:szCs w:val="28"/>
        </w:rPr>
        <w:t>tiesības un atļaujas, licences nodrošināt valodas apmācības.</w:t>
      </w:r>
      <w:r w:rsidR="003D08BB" w:rsidRPr="00915CD0">
        <w:rPr>
          <w:sz w:val="28"/>
          <w:szCs w:val="28"/>
        </w:rPr>
        <w:t xml:space="preserve"> </w:t>
      </w:r>
      <w:r w:rsidR="003D08BB" w:rsidRPr="00915CD0">
        <w:rPr>
          <w:rFonts w:cs="Times New Roman"/>
          <w:bCs/>
          <w:sz w:val="28"/>
          <w:szCs w:val="28"/>
        </w:rPr>
        <w:t>Pretendenta mācību programma ir apstiprin</w:t>
      </w:r>
      <w:r w:rsidR="0057246A" w:rsidRPr="00915CD0">
        <w:rPr>
          <w:rFonts w:cs="Times New Roman"/>
          <w:bCs/>
          <w:sz w:val="28"/>
          <w:szCs w:val="28"/>
        </w:rPr>
        <w:t>ā</w:t>
      </w:r>
      <w:r w:rsidR="003D08BB" w:rsidRPr="00915CD0">
        <w:rPr>
          <w:rFonts w:cs="Times New Roman"/>
          <w:bCs/>
          <w:sz w:val="28"/>
          <w:szCs w:val="28"/>
        </w:rPr>
        <w:t>ta</w:t>
      </w:r>
      <w:r w:rsidR="009658DD" w:rsidRPr="00915CD0">
        <w:rPr>
          <w:rFonts w:cs="Times New Roman"/>
          <w:bCs/>
          <w:sz w:val="28"/>
          <w:szCs w:val="28"/>
        </w:rPr>
        <w:t xml:space="preserve"> (vai </w:t>
      </w:r>
      <w:r w:rsidR="005D2C49" w:rsidRPr="00915CD0">
        <w:rPr>
          <w:rFonts w:cs="Times New Roman"/>
          <w:bCs/>
          <w:sz w:val="28"/>
          <w:szCs w:val="28"/>
        </w:rPr>
        <w:t>licencēta</w:t>
      </w:r>
      <w:r w:rsidR="009658DD" w:rsidRPr="00915CD0">
        <w:rPr>
          <w:rFonts w:cs="Times New Roman"/>
          <w:bCs/>
          <w:sz w:val="28"/>
          <w:szCs w:val="28"/>
        </w:rPr>
        <w:t>)</w:t>
      </w:r>
      <w:r w:rsidR="003D08BB" w:rsidRPr="00915CD0">
        <w:rPr>
          <w:rFonts w:cs="Times New Roman"/>
          <w:bCs/>
          <w:sz w:val="28"/>
          <w:szCs w:val="28"/>
        </w:rPr>
        <w:t>. Ir noteikts mācību stundu skaits kursa apguvei.</w:t>
      </w:r>
    </w:p>
    <w:p w14:paraId="37A5586A" w14:textId="6E370C3F" w:rsidR="00EA52E9" w:rsidRPr="00915CD0" w:rsidRDefault="00EA52E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 xml:space="preserve">Pretendentam ir </w:t>
      </w:r>
      <w:r w:rsidR="00CE7020" w:rsidRPr="00915CD0">
        <w:rPr>
          <w:rFonts w:cs="Times New Roman"/>
          <w:bCs/>
          <w:sz w:val="28"/>
          <w:szCs w:val="28"/>
        </w:rPr>
        <w:t>pasniedzēji ar pieredzi</w:t>
      </w:r>
      <w:r w:rsidR="00CE7020" w:rsidRPr="00915CD0">
        <w:rPr>
          <w:sz w:val="28"/>
          <w:szCs w:val="28"/>
        </w:rPr>
        <w:t xml:space="preserve"> (20</w:t>
      </w:r>
      <w:r w:rsidR="005D2C49" w:rsidRPr="00915CD0">
        <w:rPr>
          <w:sz w:val="28"/>
          <w:szCs w:val="28"/>
        </w:rPr>
        <w:t>21</w:t>
      </w:r>
      <w:r w:rsidR="00CE7020" w:rsidRPr="00915CD0">
        <w:rPr>
          <w:sz w:val="28"/>
          <w:szCs w:val="28"/>
        </w:rPr>
        <w:t>.-20</w:t>
      </w:r>
      <w:r w:rsidR="0057246A" w:rsidRPr="00915CD0">
        <w:rPr>
          <w:sz w:val="28"/>
          <w:szCs w:val="28"/>
        </w:rPr>
        <w:t>2</w:t>
      </w:r>
      <w:r w:rsidR="005D2C49" w:rsidRPr="00915CD0">
        <w:rPr>
          <w:sz w:val="28"/>
          <w:szCs w:val="28"/>
        </w:rPr>
        <w:t>2</w:t>
      </w:r>
      <w:r w:rsidR="00CE7020" w:rsidRPr="00915CD0">
        <w:rPr>
          <w:sz w:val="28"/>
          <w:szCs w:val="28"/>
        </w:rPr>
        <w:t xml:space="preserve">.gadā) </w:t>
      </w:r>
      <w:r w:rsidR="00CE7020" w:rsidRPr="00915CD0">
        <w:rPr>
          <w:rFonts w:cs="Times New Roman"/>
          <w:bCs/>
          <w:sz w:val="28"/>
          <w:szCs w:val="28"/>
        </w:rPr>
        <w:t>angļu valodas apmācībā tiesībaizsardzības iestāžu darbiniekiem.</w:t>
      </w:r>
    </w:p>
    <w:p w14:paraId="5D3D9B65" w14:textId="77777777" w:rsidR="00EA52E9" w:rsidRPr="00915CD0" w:rsidRDefault="00CE7020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  <w:r w:rsidRPr="00915CD0">
        <w:rPr>
          <w:rFonts w:cs="Times New Roman"/>
          <w:bCs/>
          <w:sz w:val="28"/>
          <w:szCs w:val="28"/>
        </w:rPr>
        <w:t>Pretendents</w:t>
      </w:r>
      <w:r w:rsidR="009658DD" w:rsidRPr="00915CD0">
        <w:rPr>
          <w:rFonts w:cs="Times New Roman"/>
          <w:bCs/>
          <w:sz w:val="28"/>
          <w:szCs w:val="28"/>
        </w:rPr>
        <w:t>,</w:t>
      </w:r>
      <w:r w:rsidR="00EA52E9" w:rsidRPr="00915CD0">
        <w:rPr>
          <w:rFonts w:cs="Times New Roman"/>
          <w:bCs/>
          <w:sz w:val="28"/>
          <w:szCs w:val="28"/>
        </w:rPr>
        <w:t xml:space="preserve"> </w:t>
      </w:r>
      <w:r w:rsidRPr="00915CD0">
        <w:rPr>
          <w:rFonts w:cs="Times New Roman"/>
          <w:bCs/>
          <w:sz w:val="28"/>
          <w:szCs w:val="28"/>
        </w:rPr>
        <w:t>pēc mācību kursa apgūšanas</w:t>
      </w:r>
      <w:r w:rsidR="009658DD" w:rsidRPr="00915CD0">
        <w:rPr>
          <w:rFonts w:cs="Times New Roman"/>
          <w:bCs/>
          <w:sz w:val="28"/>
          <w:szCs w:val="28"/>
        </w:rPr>
        <w:t>,</w:t>
      </w:r>
      <w:r w:rsidRPr="00915CD0">
        <w:rPr>
          <w:rFonts w:cs="Times New Roman"/>
          <w:bCs/>
          <w:sz w:val="28"/>
          <w:szCs w:val="28"/>
        </w:rPr>
        <w:t xml:space="preserve"> izglītojamajiem izsniedz sertifikātu</w:t>
      </w:r>
      <w:r w:rsidR="009658DD" w:rsidRPr="00915CD0">
        <w:rPr>
          <w:rFonts w:cs="Times New Roman"/>
          <w:bCs/>
          <w:sz w:val="28"/>
          <w:szCs w:val="28"/>
        </w:rPr>
        <w:t>,</w:t>
      </w:r>
      <w:r w:rsidRPr="00915CD0">
        <w:rPr>
          <w:rFonts w:cs="Times New Roman"/>
          <w:bCs/>
          <w:sz w:val="28"/>
          <w:szCs w:val="28"/>
        </w:rPr>
        <w:t xml:space="preserve"> apliecību par apgūto valodas zināšanu līmeni.</w:t>
      </w:r>
    </w:p>
    <w:p w14:paraId="10F26CE5" w14:textId="0A74E75C" w:rsidR="00E41A1A" w:rsidRDefault="00E41A1A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</w:p>
    <w:p w14:paraId="41DC67E6" w14:textId="7EEEF2BB" w:rsidR="00A37811" w:rsidRDefault="00A37811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</w:p>
    <w:p w14:paraId="2FE2EB6B" w14:textId="794573FD" w:rsidR="005D2C49" w:rsidRDefault="005D2C49" w:rsidP="00EA52E9">
      <w:pPr>
        <w:ind w:right="1134" w:firstLine="720"/>
        <w:jc w:val="both"/>
        <w:rPr>
          <w:rFonts w:cs="Times New Roman"/>
          <w:bCs/>
          <w:sz w:val="28"/>
          <w:szCs w:val="28"/>
        </w:rPr>
      </w:pPr>
    </w:p>
    <w:p w14:paraId="1F7F5712" w14:textId="77777777" w:rsidR="00EC5559" w:rsidRPr="00E41A1A" w:rsidRDefault="00466598" w:rsidP="00EC5559">
      <w:pPr>
        <w:ind w:right="-2"/>
        <w:jc w:val="right"/>
        <w:rPr>
          <w:sz w:val="28"/>
          <w:szCs w:val="28"/>
        </w:rPr>
      </w:pPr>
      <w:r w:rsidRPr="00E41A1A">
        <w:rPr>
          <w:sz w:val="28"/>
          <w:szCs w:val="28"/>
        </w:rPr>
        <w:t>2</w:t>
      </w:r>
      <w:r w:rsidR="00EC5559" w:rsidRPr="00E41A1A">
        <w:rPr>
          <w:sz w:val="28"/>
          <w:szCs w:val="28"/>
        </w:rPr>
        <w:t>.pielikums</w:t>
      </w:r>
    </w:p>
    <w:p w14:paraId="733C1E29" w14:textId="77777777" w:rsidR="00466598" w:rsidRPr="00E41A1A" w:rsidRDefault="00466598" w:rsidP="00466598">
      <w:pPr>
        <w:jc w:val="right"/>
        <w:rPr>
          <w:rFonts w:cs="Times New Roman"/>
        </w:rPr>
      </w:pPr>
      <w:r w:rsidRPr="00E41A1A">
        <w:rPr>
          <w:sz w:val="28"/>
          <w:szCs w:val="28"/>
        </w:rPr>
        <w:t>u</w:t>
      </w:r>
      <w:r w:rsidRPr="00E41A1A">
        <w:t>zaicinājumam dalībai t</w:t>
      </w:r>
      <w:r w:rsidRPr="00E41A1A">
        <w:rPr>
          <w:rFonts w:cs="Times New Roman"/>
        </w:rPr>
        <w:t>irgus izpētē iepirkumam</w:t>
      </w:r>
    </w:p>
    <w:p w14:paraId="645DF5D1" w14:textId="77777777" w:rsidR="00EC5559" w:rsidRPr="00E41A1A" w:rsidRDefault="002960E5" w:rsidP="00466598">
      <w:pPr>
        <w:jc w:val="right"/>
      </w:pPr>
      <w:r w:rsidRPr="00E41A1A">
        <w:t xml:space="preserve">“Angļu valoda </w:t>
      </w:r>
      <w:r w:rsidR="00A8609D" w:rsidRPr="00E41A1A">
        <w:t xml:space="preserve">Valsts policijas teritoriālo pārvalžu </w:t>
      </w:r>
      <w:r w:rsidRPr="00E41A1A">
        <w:t>vadībai”</w:t>
      </w:r>
    </w:p>
    <w:p w14:paraId="03AC3490" w14:textId="77777777" w:rsidR="00EC5559" w:rsidRPr="00E41A1A" w:rsidRDefault="00EC5559" w:rsidP="00EC5559">
      <w:pPr>
        <w:ind w:right="-2"/>
        <w:jc w:val="right"/>
        <w:rPr>
          <w:bCs/>
          <w:sz w:val="18"/>
          <w:szCs w:val="18"/>
        </w:rPr>
      </w:pPr>
    </w:p>
    <w:p w14:paraId="00691F6E" w14:textId="77777777" w:rsidR="00EC5559" w:rsidRPr="00E41A1A" w:rsidRDefault="00EC5559" w:rsidP="00EC5559">
      <w:pPr>
        <w:pStyle w:val="WW-Default"/>
        <w:tabs>
          <w:tab w:val="left" w:pos="8787"/>
        </w:tabs>
        <w:ind w:right="-2"/>
        <w:jc w:val="center"/>
        <w:rPr>
          <w:b/>
          <w:bCs/>
          <w:sz w:val="28"/>
          <w:szCs w:val="28"/>
        </w:rPr>
      </w:pPr>
      <w:r w:rsidRPr="00E41A1A">
        <w:rPr>
          <w:b/>
          <w:bCs/>
          <w:sz w:val="28"/>
          <w:szCs w:val="28"/>
        </w:rPr>
        <w:t>PIETEIKUMS</w:t>
      </w:r>
    </w:p>
    <w:p w14:paraId="5BE76B64" w14:textId="77777777" w:rsidR="00EC5559" w:rsidRPr="00E41A1A" w:rsidRDefault="00EC5559" w:rsidP="00EC5559">
      <w:pPr>
        <w:jc w:val="center"/>
        <w:rPr>
          <w:rFonts w:cs="Times New Roman"/>
          <w:sz w:val="28"/>
          <w:szCs w:val="28"/>
        </w:rPr>
      </w:pPr>
      <w:r w:rsidRPr="00E41A1A">
        <w:rPr>
          <w:bCs/>
          <w:sz w:val="28"/>
          <w:szCs w:val="28"/>
        </w:rPr>
        <w:t xml:space="preserve">dalībai </w:t>
      </w:r>
      <w:r w:rsidRPr="00E41A1A">
        <w:rPr>
          <w:rFonts w:cs="Times New Roman"/>
          <w:sz w:val="28"/>
          <w:szCs w:val="28"/>
        </w:rPr>
        <w:t>tirgus izpēt</w:t>
      </w:r>
      <w:r w:rsidR="00555A44" w:rsidRPr="00E41A1A">
        <w:rPr>
          <w:rFonts w:cs="Times New Roman"/>
          <w:sz w:val="28"/>
          <w:szCs w:val="28"/>
        </w:rPr>
        <w:t>ē</w:t>
      </w:r>
      <w:r w:rsidRPr="00E41A1A">
        <w:rPr>
          <w:rFonts w:cs="Times New Roman"/>
          <w:sz w:val="28"/>
          <w:szCs w:val="28"/>
        </w:rPr>
        <w:t xml:space="preserve"> </w:t>
      </w:r>
      <w:r w:rsidR="007E55B3" w:rsidRPr="00E41A1A">
        <w:rPr>
          <w:rFonts w:cs="Times New Roman"/>
          <w:sz w:val="28"/>
          <w:szCs w:val="28"/>
        </w:rPr>
        <w:t>iepirkumam</w:t>
      </w:r>
    </w:p>
    <w:p w14:paraId="580FD084" w14:textId="77777777" w:rsidR="00EC5559" w:rsidRPr="00E41A1A" w:rsidRDefault="0043363A" w:rsidP="00EC5559">
      <w:pPr>
        <w:pStyle w:val="WW-Default"/>
        <w:tabs>
          <w:tab w:val="left" w:pos="8787"/>
        </w:tabs>
        <w:ind w:right="-2"/>
        <w:jc w:val="center"/>
        <w:rPr>
          <w:sz w:val="28"/>
          <w:szCs w:val="28"/>
        </w:rPr>
      </w:pPr>
      <w:r w:rsidRPr="00E41A1A">
        <w:rPr>
          <w:rFonts w:cs="Calibri"/>
          <w:color w:val="auto"/>
          <w:kern w:val="0"/>
          <w:sz w:val="28"/>
          <w:szCs w:val="28"/>
        </w:rPr>
        <w:t>“Angļu valoda Valsts policijas teritoriālo pārvalžu vadībai”</w:t>
      </w:r>
    </w:p>
    <w:p w14:paraId="71BF4379" w14:textId="3383C221" w:rsidR="007E55B3" w:rsidRPr="00E41A1A" w:rsidRDefault="007E55B3" w:rsidP="007E55B3">
      <w:pPr>
        <w:pStyle w:val="WW-Default"/>
        <w:tabs>
          <w:tab w:val="left" w:pos="8787"/>
        </w:tabs>
        <w:ind w:right="-2"/>
        <w:rPr>
          <w:sz w:val="28"/>
          <w:szCs w:val="28"/>
        </w:rPr>
      </w:pPr>
      <w:r w:rsidRPr="00E41A1A">
        <w:rPr>
          <w:sz w:val="28"/>
          <w:szCs w:val="28"/>
        </w:rPr>
        <w:t>Informācija par pretendentu: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5874"/>
      </w:tblGrid>
      <w:tr w:rsidR="004E080A" w:rsidRPr="00E41A1A" w14:paraId="06807C2A" w14:textId="77777777" w:rsidTr="00A37811">
        <w:tc>
          <w:tcPr>
            <w:tcW w:w="3329" w:type="dxa"/>
          </w:tcPr>
          <w:p w14:paraId="518C6BE5" w14:textId="77777777" w:rsidR="004E080A" w:rsidRPr="00E41A1A" w:rsidRDefault="004E080A" w:rsidP="002368F2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Pretendent</w:t>
            </w:r>
            <w:r w:rsidR="002368F2" w:rsidRPr="00E41A1A">
              <w:rPr>
                <w:sz w:val="28"/>
                <w:szCs w:val="28"/>
              </w:rPr>
              <w:t>a nosaukums</w:t>
            </w:r>
          </w:p>
        </w:tc>
        <w:tc>
          <w:tcPr>
            <w:tcW w:w="5874" w:type="dxa"/>
          </w:tcPr>
          <w:p w14:paraId="1314229C" w14:textId="14934538" w:rsidR="004E080A" w:rsidRPr="00E41A1A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41A1A" w14:paraId="46CDA842" w14:textId="77777777" w:rsidTr="00A37811">
        <w:tc>
          <w:tcPr>
            <w:tcW w:w="3329" w:type="dxa"/>
          </w:tcPr>
          <w:p w14:paraId="0A28014C" w14:textId="77777777" w:rsidR="004E080A" w:rsidRPr="00E41A1A" w:rsidRDefault="004E080A" w:rsidP="004E080A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Vienotais reģistrācijas Nr.</w:t>
            </w:r>
          </w:p>
        </w:tc>
        <w:tc>
          <w:tcPr>
            <w:tcW w:w="5874" w:type="dxa"/>
          </w:tcPr>
          <w:p w14:paraId="3BC67044" w14:textId="4F0AFE28" w:rsidR="004E080A" w:rsidRPr="00E41A1A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41A1A" w14:paraId="11C306D8" w14:textId="77777777" w:rsidTr="00A37811">
        <w:tc>
          <w:tcPr>
            <w:tcW w:w="3329" w:type="dxa"/>
          </w:tcPr>
          <w:p w14:paraId="5ABCD7B9" w14:textId="77777777" w:rsidR="004E080A" w:rsidRPr="00E41A1A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PVN maksātāja Nr.</w:t>
            </w:r>
          </w:p>
        </w:tc>
        <w:tc>
          <w:tcPr>
            <w:tcW w:w="5874" w:type="dxa"/>
          </w:tcPr>
          <w:p w14:paraId="19ACB5B1" w14:textId="73C53226" w:rsidR="004E080A" w:rsidRPr="00E41A1A" w:rsidRDefault="004E080A" w:rsidP="005C55D5">
            <w:pPr>
              <w:pStyle w:val="WW-Default"/>
              <w:tabs>
                <w:tab w:val="left" w:pos="8787"/>
              </w:tabs>
              <w:ind w:right="-2"/>
              <w:rPr>
                <w:i/>
                <w:sz w:val="28"/>
                <w:szCs w:val="28"/>
              </w:rPr>
            </w:pPr>
          </w:p>
        </w:tc>
      </w:tr>
      <w:tr w:rsidR="004E080A" w:rsidRPr="00E41A1A" w14:paraId="1BEB0A23" w14:textId="77777777" w:rsidTr="00A37811">
        <w:tc>
          <w:tcPr>
            <w:tcW w:w="3329" w:type="dxa"/>
          </w:tcPr>
          <w:p w14:paraId="01EA4126" w14:textId="77777777" w:rsidR="004E080A" w:rsidRPr="00E41A1A" w:rsidRDefault="004E080A" w:rsidP="004E080A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Juridiskā adrese</w:t>
            </w:r>
          </w:p>
        </w:tc>
        <w:tc>
          <w:tcPr>
            <w:tcW w:w="5874" w:type="dxa"/>
          </w:tcPr>
          <w:p w14:paraId="12D1F685" w14:textId="0CC3C95D" w:rsidR="004E080A" w:rsidRPr="00E41A1A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41A1A" w14:paraId="57800AFB" w14:textId="77777777" w:rsidTr="00A37811">
        <w:tc>
          <w:tcPr>
            <w:tcW w:w="3329" w:type="dxa"/>
          </w:tcPr>
          <w:p w14:paraId="22F0A593" w14:textId="77777777" w:rsidR="004E080A" w:rsidRPr="00E41A1A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Pasta adrese</w:t>
            </w:r>
          </w:p>
        </w:tc>
        <w:tc>
          <w:tcPr>
            <w:tcW w:w="5874" w:type="dxa"/>
          </w:tcPr>
          <w:p w14:paraId="050CCF79" w14:textId="701C0A02" w:rsidR="004E080A" w:rsidRPr="00E41A1A" w:rsidRDefault="004E080A" w:rsidP="005C55D5">
            <w:pPr>
              <w:pStyle w:val="WW-Default"/>
              <w:tabs>
                <w:tab w:val="left" w:pos="8787"/>
              </w:tabs>
              <w:ind w:right="-2"/>
              <w:rPr>
                <w:i/>
                <w:sz w:val="28"/>
                <w:szCs w:val="28"/>
              </w:rPr>
            </w:pPr>
          </w:p>
        </w:tc>
      </w:tr>
      <w:tr w:rsidR="004E080A" w:rsidRPr="00E41A1A" w14:paraId="29E3C4AA" w14:textId="77777777" w:rsidTr="00A37811">
        <w:tc>
          <w:tcPr>
            <w:tcW w:w="3329" w:type="dxa"/>
          </w:tcPr>
          <w:p w14:paraId="66321799" w14:textId="77777777" w:rsidR="004E080A" w:rsidRPr="00E41A1A" w:rsidRDefault="00763999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e-pasta adrese</w:t>
            </w:r>
          </w:p>
        </w:tc>
        <w:tc>
          <w:tcPr>
            <w:tcW w:w="5874" w:type="dxa"/>
          </w:tcPr>
          <w:p w14:paraId="2AC02F4F" w14:textId="2EFECFB5" w:rsidR="004E080A" w:rsidRPr="00E41A1A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41A1A" w14:paraId="6C9A9056" w14:textId="77777777" w:rsidTr="00A37811">
        <w:tc>
          <w:tcPr>
            <w:tcW w:w="3329" w:type="dxa"/>
          </w:tcPr>
          <w:p w14:paraId="21FC74DE" w14:textId="77777777" w:rsidR="004E080A" w:rsidRPr="00E41A1A" w:rsidRDefault="00763999" w:rsidP="002368F2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Tālruņa</w:t>
            </w:r>
            <w:r w:rsidR="001867A2" w:rsidRPr="00E41A1A">
              <w:rPr>
                <w:sz w:val="28"/>
                <w:szCs w:val="28"/>
              </w:rPr>
              <w:t>/faksa</w:t>
            </w:r>
            <w:r w:rsidRPr="00E41A1A">
              <w:rPr>
                <w:sz w:val="28"/>
                <w:szCs w:val="28"/>
              </w:rPr>
              <w:t xml:space="preserve"> </w:t>
            </w:r>
            <w:r w:rsidR="002368F2" w:rsidRPr="00E41A1A">
              <w:rPr>
                <w:sz w:val="28"/>
                <w:szCs w:val="28"/>
              </w:rPr>
              <w:t>Nr.</w:t>
            </w:r>
          </w:p>
        </w:tc>
        <w:tc>
          <w:tcPr>
            <w:tcW w:w="5874" w:type="dxa"/>
          </w:tcPr>
          <w:p w14:paraId="6D1C2A95" w14:textId="00731837" w:rsidR="004E080A" w:rsidRPr="00E41A1A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41A1A" w14:paraId="0523CCCE" w14:textId="77777777" w:rsidTr="00A37811">
        <w:tc>
          <w:tcPr>
            <w:tcW w:w="3329" w:type="dxa"/>
          </w:tcPr>
          <w:p w14:paraId="00A016FA" w14:textId="77777777" w:rsidR="004E080A" w:rsidRPr="00E41A1A" w:rsidRDefault="001867A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proofErr w:type="spellStart"/>
            <w:r w:rsidRPr="00E41A1A">
              <w:rPr>
                <w:sz w:val="28"/>
                <w:szCs w:val="28"/>
              </w:rPr>
              <w:t>Paraksttiesīgās</w:t>
            </w:r>
            <w:proofErr w:type="spellEnd"/>
            <w:r w:rsidRPr="00E41A1A">
              <w:rPr>
                <w:sz w:val="28"/>
                <w:szCs w:val="28"/>
              </w:rPr>
              <w:t xml:space="preserve"> personas vārds, uzvārds, amats</w:t>
            </w:r>
          </w:p>
        </w:tc>
        <w:tc>
          <w:tcPr>
            <w:tcW w:w="5874" w:type="dxa"/>
          </w:tcPr>
          <w:p w14:paraId="189E1F4F" w14:textId="5A74B811" w:rsidR="004E080A" w:rsidRPr="00E41A1A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41A1A" w14:paraId="2EFD52A5" w14:textId="77777777" w:rsidTr="00A37811">
        <w:tc>
          <w:tcPr>
            <w:tcW w:w="3329" w:type="dxa"/>
          </w:tcPr>
          <w:p w14:paraId="4974B52B" w14:textId="77777777" w:rsidR="002368F2" w:rsidRPr="00E41A1A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Banka</w:t>
            </w:r>
          </w:p>
        </w:tc>
        <w:tc>
          <w:tcPr>
            <w:tcW w:w="5874" w:type="dxa"/>
          </w:tcPr>
          <w:p w14:paraId="1D5708E7" w14:textId="4AC645F5" w:rsidR="002368F2" w:rsidRPr="00E41A1A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41A1A" w14:paraId="77AAD6E7" w14:textId="77777777" w:rsidTr="00A37811">
        <w:tc>
          <w:tcPr>
            <w:tcW w:w="3329" w:type="dxa"/>
          </w:tcPr>
          <w:p w14:paraId="47585DC8" w14:textId="77777777" w:rsidR="002368F2" w:rsidRPr="00E41A1A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Konta Nr.</w:t>
            </w:r>
          </w:p>
        </w:tc>
        <w:tc>
          <w:tcPr>
            <w:tcW w:w="5874" w:type="dxa"/>
          </w:tcPr>
          <w:p w14:paraId="24129355" w14:textId="3376AEE2" w:rsidR="002368F2" w:rsidRPr="00E41A1A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A37811" w:rsidRPr="00E41A1A" w14:paraId="54F9A73C" w14:textId="77777777" w:rsidTr="00A37811">
        <w:tc>
          <w:tcPr>
            <w:tcW w:w="3329" w:type="dxa"/>
          </w:tcPr>
          <w:p w14:paraId="70035081" w14:textId="77777777" w:rsidR="00A37811" w:rsidRPr="00E41A1A" w:rsidRDefault="00A37811" w:rsidP="00A37811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Kontaktpersonas vārds, uzvārds, amats</w:t>
            </w:r>
          </w:p>
        </w:tc>
        <w:tc>
          <w:tcPr>
            <w:tcW w:w="5874" w:type="dxa"/>
          </w:tcPr>
          <w:p w14:paraId="4A3456FB" w14:textId="6B1FD6A3" w:rsidR="00A37811" w:rsidRPr="00E41A1A" w:rsidRDefault="00A37811" w:rsidP="00A37811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A37811" w:rsidRPr="00E41A1A" w14:paraId="3192CF69" w14:textId="77777777" w:rsidTr="00A37811">
        <w:tc>
          <w:tcPr>
            <w:tcW w:w="3329" w:type="dxa"/>
          </w:tcPr>
          <w:p w14:paraId="089190A7" w14:textId="77777777" w:rsidR="00A37811" w:rsidRPr="00E41A1A" w:rsidRDefault="00A37811" w:rsidP="00A37811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Kontaktpersonas tālruņa Nr.</w:t>
            </w:r>
          </w:p>
        </w:tc>
        <w:tc>
          <w:tcPr>
            <w:tcW w:w="5874" w:type="dxa"/>
          </w:tcPr>
          <w:p w14:paraId="536700B4" w14:textId="3F7A1071" w:rsidR="00A37811" w:rsidRPr="00E41A1A" w:rsidRDefault="00A37811" w:rsidP="00A37811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A37811" w:rsidRPr="00E41A1A" w14:paraId="387E796A" w14:textId="77777777" w:rsidTr="00A37811">
        <w:tc>
          <w:tcPr>
            <w:tcW w:w="3329" w:type="dxa"/>
          </w:tcPr>
          <w:p w14:paraId="682BB6B3" w14:textId="77777777" w:rsidR="00A37811" w:rsidRPr="00E41A1A" w:rsidRDefault="00A37811" w:rsidP="00A37811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41A1A">
              <w:rPr>
                <w:sz w:val="28"/>
                <w:szCs w:val="28"/>
              </w:rPr>
              <w:t>Kontaktpersonas e-pasta adrese</w:t>
            </w:r>
          </w:p>
        </w:tc>
        <w:tc>
          <w:tcPr>
            <w:tcW w:w="5874" w:type="dxa"/>
          </w:tcPr>
          <w:p w14:paraId="700CDCC6" w14:textId="48D5A82D" w:rsidR="00A37811" w:rsidRPr="00E41A1A" w:rsidRDefault="00A37811" w:rsidP="00A37811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</w:tbl>
    <w:p w14:paraId="6704971F" w14:textId="77777777" w:rsidR="00EC5559" w:rsidRPr="00E41A1A" w:rsidRDefault="00EC5559" w:rsidP="00EC5559">
      <w:pPr>
        <w:pStyle w:val="WW-Default"/>
        <w:tabs>
          <w:tab w:val="left" w:pos="8787"/>
        </w:tabs>
        <w:ind w:right="-2"/>
        <w:rPr>
          <w:sz w:val="28"/>
          <w:szCs w:val="28"/>
        </w:rPr>
      </w:pPr>
    </w:p>
    <w:p w14:paraId="36266245" w14:textId="77777777" w:rsidR="004C694D" w:rsidRPr="00E41A1A" w:rsidRDefault="004C694D" w:rsidP="004C694D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E41A1A">
        <w:rPr>
          <w:rFonts w:cs="Times New Roman"/>
          <w:color w:val="000000"/>
          <w:kern w:val="1"/>
          <w:sz w:val="28"/>
          <w:szCs w:val="28"/>
        </w:rPr>
        <w:t>Pretendents, parakstot šo pieteikumu, apliecina, ka:</w:t>
      </w:r>
    </w:p>
    <w:p w14:paraId="7994BB04" w14:textId="77777777" w:rsidR="004C694D" w:rsidRPr="00E41A1A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E41A1A">
        <w:rPr>
          <w:rFonts w:cs="Times New Roman"/>
          <w:color w:val="000000"/>
          <w:kern w:val="1"/>
          <w:sz w:val="28"/>
          <w:szCs w:val="28"/>
        </w:rPr>
        <w:t xml:space="preserve">uz pretendentu neattiecas </w:t>
      </w:r>
      <w:r w:rsidRPr="00E41A1A">
        <w:rPr>
          <w:sz w:val="28"/>
          <w:szCs w:val="28"/>
        </w:rPr>
        <w:t>uzaicinājuma 4.punktā</w:t>
      </w:r>
      <w:r w:rsidRPr="00E41A1A">
        <w:rPr>
          <w:rFonts w:cs="Times New Roman"/>
          <w:color w:val="000000"/>
          <w:kern w:val="1"/>
          <w:sz w:val="28"/>
          <w:szCs w:val="28"/>
        </w:rPr>
        <w:t xml:space="preserve"> noteiktie izslēgšanas nosacījumi;</w:t>
      </w:r>
    </w:p>
    <w:p w14:paraId="59D7935E" w14:textId="77777777" w:rsidR="004C694D" w:rsidRPr="00E41A1A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E41A1A">
        <w:rPr>
          <w:rFonts w:cs="Times New Roman"/>
          <w:color w:val="000000"/>
          <w:kern w:val="1"/>
          <w:sz w:val="28"/>
          <w:szCs w:val="28"/>
        </w:rPr>
        <w:t>visa pieteikumā sniegtā informācija ir patiesa;</w:t>
      </w:r>
    </w:p>
    <w:p w14:paraId="3E3D745C" w14:textId="77777777" w:rsidR="004C694D" w:rsidRPr="00E41A1A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E41A1A">
        <w:rPr>
          <w:rFonts w:cs="Times New Roman"/>
          <w:color w:val="000000"/>
          <w:kern w:val="1"/>
          <w:sz w:val="28"/>
          <w:szCs w:val="28"/>
        </w:rPr>
        <w:t>piekrīt visām Tehniskajā specifikācijā izvirzītajām prasībām;</w:t>
      </w:r>
    </w:p>
    <w:p w14:paraId="56A5C6E3" w14:textId="77777777" w:rsidR="004C694D" w:rsidRPr="00E41A1A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E41A1A">
        <w:rPr>
          <w:rFonts w:cs="Times New Roman"/>
          <w:color w:val="000000"/>
          <w:kern w:val="1"/>
          <w:sz w:val="28"/>
          <w:szCs w:val="28"/>
        </w:rPr>
        <w:t>nodrošinās Tehniskajā piedāvājumā minētos pakalpojumus</w:t>
      </w:r>
      <w:r w:rsidRPr="00E41A1A">
        <w:rPr>
          <w:rFonts w:cs="Times New Roman"/>
          <w:color w:val="000000"/>
          <w:kern w:val="1"/>
        </w:rPr>
        <w:t xml:space="preserve"> </w:t>
      </w:r>
      <w:r w:rsidR="00B24CC8" w:rsidRPr="00E41A1A">
        <w:rPr>
          <w:rFonts w:cs="Times New Roman"/>
          <w:color w:val="000000"/>
          <w:kern w:val="1"/>
          <w:sz w:val="28"/>
          <w:szCs w:val="28"/>
        </w:rPr>
        <w:t>par</w:t>
      </w:r>
      <w:r w:rsidRPr="00E41A1A">
        <w:rPr>
          <w:rFonts w:cs="Times New Roman"/>
          <w:color w:val="000000"/>
          <w:kern w:val="1"/>
          <w:sz w:val="28"/>
          <w:szCs w:val="28"/>
        </w:rPr>
        <w:t xml:space="preserve"> Finanš</w:t>
      </w:r>
      <w:r w:rsidR="00B24CC8" w:rsidRPr="00E41A1A">
        <w:rPr>
          <w:rFonts w:cs="Times New Roman"/>
          <w:color w:val="000000"/>
          <w:kern w:val="1"/>
          <w:sz w:val="28"/>
          <w:szCs w:val="28"/>
        </w:rPr>
        <w:t>u piedāvājumā noteiktajām cenām;</w:t>
      </w:r>
    </w:p>
    <w:p w14:paraId="30CBC7A9" w14:textId="77777777" w:rsidR="00B24CC8" w:rsidRPr="00E41A1A" w:rsidRDefault="00B24CC8" w:rsidP="00B24CC8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E41A1A">
        <w:rPr>
          <w:rFonts w:cs="Times New Roman"/>
          <w:color w:val="000000"/>
          <w:kern w:val="1"/>
          <w:sz w:val="28"/>
          <w:szCs w:val="28"/>
        </w:rPr>
        <w:t>Finanšu piedāvājumā ir iekļautas visas ar pakalpoju</w:t>
      </w:r>
      <w:r w:rsidR="0087015A" w:rsidRPr="00E41A1A">
        <w:rPr>
          <w:rFonts w:cs="Times New Roman"/>
          <w:color w:val="000000"/>
          <w:kern w:val="1"/>
          <w:sz w:val="28"/>
          <w:szCs w:val="28"/>
        </w:rPr>
        <w:t>ma sniegšanu saistītās izmaksas;</w:t>
      </w:r>
    </w:p>
    <w:p w14:paraId="14B76607" w14:textId="7FDD055B" w:rsidR="0087015A" w:rsidRDefault="0087015A" w:rsidP="0087015A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E41A1A">
        <w:rPr>
          <w:rFonts w:cs="Times New Roman"/>
          <w:color w:val="000000"/>
          <w:kern w:val="1"/>
          <w:sz w:val="28"/>
          <w:szCs w:val="28"/>
        </w:rPr>
        <w:t xml:space="preserve">Pretendents iesniedzot pieteikumu pievieno informāciju par pieredzi un </w:t>
      </w:r>
      <w:r w:rsidR="009658DD" w:rsidRPr="00E41A1A">
        <w:rPr>
          <w:rFonts w:cs="Times New Roman"/>
          <w:color w:val="000000"/>
          <w:kern w:val="1"/>
          <w:sz w:val="28"/>
          <w:szCs w:val="28"/>
        </w:rPr>
        <w:t>spējām veikt apmācību</w:t>
      </w:r>
      <w:r w:rsidRPr="00E41A1A">
        <w:rPr>
          <w:rFonts w:cs="Times New Roman"/>
          <w:color w:val="000000"/>
          <w:kern w:val="1"/>
          <w:sz w:val="28"/>
          <w:szCs w:val="28"/>
        </w:rPr>
        <w:t xml:space="preserve"> uz </w:t>
      </w:r>
      <w:r w:rsidR="00A37811">
        <w:rPr>
          <w:rFonts w:cs="Times New Roman"/>
          <w:color w:val="000000"/>
          <w:kern w:val="1"/>
          <w:sz w:val="28"/>
          <w:szCs w:val="28"/>
        </w:rPr>
        <w:t>1</w:t>
      </w:r>
      <w:r w:rsidRPr="00E41A1A">
        <w:rPr>
          <w:rFonts w:cs="Times New Roman"/>
          <w:color w:val="000000"/>
          <w:kern w:val="1"/>
          <w:sz w:val="28"/>
          <w:szCs w:val="28"/>
        </w:rPr>
        <w:t xml:space="preserve"> lap</w:t>
      </w:r>
      <w:r w:rsidR="00A37811">
        <w:rPr>
          <w:rFonts w:cs="Times New Roman"/>
          <w:color w:val="000000"/>
          <w:kern w:val="1"/>
          <w:sz w:val="28"/>
          <w:szCs w:val="28"/>
        </w:rPr>
        <w:t>as</w:t>
      </w:r>
      <w:r w:rsidRPr="00E41A1A">
        <w:rPr>
          <w:rFonts w:cs="Times New Roman"/>
          <w:color w:val="000000"/>
          <w:kern w:val="1"/>
          <w:sz w:val="28"/>
          <w:szCs w:val="28"/>
        </w:rPr>
        <w:t>.</w:t>
      </w:r>
    </w:p>
    <w:p w14:paraId="5D237A41" w14:textId="0382D3CE" w:rsidR="008C08B5" w:rsidRDefault="008C08B5" w:rsidP="0087015A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</w:p>
    <w:p w14:paraId="4D0430EB" w14:textId="2F5C29EF" w:rsidR="008C08B5" w:rsidRDefault="008C08B5" w:rsidP="0087015A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</w:p>
    <w:p w14:paraId="7DC183D2" w14:textId="3204DDCC" w:rsidR="008C08B5" w:rsidRDefault="008C08B5" w:rsidP="0087015A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</w:p>
    <w:p w14:paraId="7FBDA7FB" w14:textId="77777777" w:rsidR="005460B8" w:rsidRDefault="005460B8" w:rsidP="0087015A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bookmarkStart w:id="1" w:name="_GoBack"/>
      <w:bookmarkEnd w:id="1"/>
    </w:p>
    <w:p w14:paraId="0082AD4B" w14:textId="77777777" w:rsidR="008C08B5" w:rsidRDefault="008C08B5" w:rsidP="008C08B5">
      <w:pPr>
        <w:jc w:val="right"/>
        <w:rPr>
          <w:sz w:val="28"/>
          <w:szCs w:val="28"/>
        </w:rPr>
      </w:pPr>
    </w:p>
    <w:p w14:paraId="303ED689" w14:textId="77777777" w:rsidR="008C08B5" w:rsidRPr="00E41A1A" w:rsidRDefault="008C08B5" w:rsidP="008C08B5">
      <w:pPr>
        <w:jc w:val="right"/>
        <w:rPr>
          <w:rFonts w:cs="Times New Roman"/>
        </w:rPr>
      </w:pPr>
      <w:r w:rsidRPr="00E41A1A">
        <w:rPr>
          <w:sz w:val="28"/>
          <w:szCs w:val="28"/>
        </w:rPr>
        <w:t>3.pielikums                                                                                                                u</w:t>
      </w:r>
      <w:r w:rsidRPr="00E41A1A">
        <w:t>zaicinājumam dalībai t</w:t>
      </w:r>
      <w:r w:rsidRPr="00E41A1A">
        <w:rPr>
          <w:rFonts w:cs="Times New Roman"/>
        </w:rPr>
        <w:t>irgus izpētē iepirkumam</w:t>
      </w:r>
    </w:p>
    <w:p w14:paraId="75B919C3" w14:textId="77777777" w:rsidR="008C08B5" w:rsidRPr="00E41A1A" w:rsidRDefault="008C08B5" w:rsidP="008C08B5">
      <w:pPr>
        <w:jc w:val="right"/>
      </w:pPr>
      <w:r w:rsidRPr="00E41A1A">
        <w:t>“Angļu valoda Valsts policijas teritoriālo pārvalžu vadībai”</w:t>
      </w:r>
    </w:p>
    <w:p w14:paraId="591E4AEE" w14:textId="77777777" w:rsidR="008C08B5" w:rsidRPr="00E41A1A" w:rsidRDefault="008C08B5" w:rsidP="008C08B5">
      <w:pPr>
        <w:spacing w:before="6"/>
        <w:rPr>
          <w:bCs/>
          <w:iCs/>
          <w:sz w:val="28"/>
          <w:szCs w:val="28"/>
        </w:rPr>
      </w:pPr>
    </w:p>
    <w:p w14:paraId="7A2D8312" w14:textId="18F72F98" w:rsidR="008C08B5" w:rsidRDefault="008C08B5" w:rsidP="008C08B5">
      <w:pPr>
        <w:spacing w:before="6"/>
        <w:rPr>
          <w:bCs/>
          <w:iCs/>
          <w:sz w:val="28"/>
          <w:szCs w:val="28"/>
        </w:rPr>
      </w:pPr>
      <w:r w:rsidRPr="00E41A1A">
        <w:rPr>
          <w:bCs/>
          <w:iCs/>
          <w:sz w:val="28"/>
          <w:szCs w:val="28"/>
        </w:rPr>
        <w:t>2.Tehniskais un finanšu piedāvājums:</w:t>
      </w:r>
    </w:p>
    <w:p w14:paraId="06BB2F01" w14:textId="573F4383" w:rsidR="00CD587E" w:rsidRDefault="00CD587E" w:rsidP="00CD587E">
      <w:pPr>
        <w:pStyle w:val="NormalWeb"/>
        <w:rPr>
          <w:lang w:eastAsia="lv-LV"/>
        </w:rPr>
      </w:pPr>
    </w:p>
    <w:tbl>
      <w:tblPr>
        <w:tblStyle w:val="TableGrid"/>
        <w:tblW w:w="9973" w:type="dxa"/>
        <w:tblLook w:val="04A0" w:firstRow="1" w:lastRow="0" w:firstColumn="1" w:lastColumn="0" w:noHBand="0" w:noVBand="1"/>
      </w:tblPr>
      <w:tblGrid>
        <w:gridCol w:w="1062"/>
        <w:gridCol w:w="3565"/>
        <w:gridCol w:w="891"/>
        <w:gridCol w:w="891"/>
        <w:gridCol w:w="891"/>
        <w:gridCol w:w="891"/>
        <w:gridCol w:w="891"/>
        <w:gridCol w:w="891"/>
      </w:tblGrid>
      <w:tr w:rsidR="00CD587E" w14:paraId="79EEC055" w14:textId="77777777" w:rsidTr="00CD587E"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5A5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rFonts w:cs="Times New Roman"/>
                <w:b/>
                <w:bCs/>
              </w:rPr>
              <w:t>Nr. p.k.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D231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5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872F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0"/>
                <w:szCs w:val="20"/>
              </w:rPr>
              <w:t>Līmenis</w:t>
            </w:r>
          </w:p>
        </w:tc>
      </w:tr>
      <w:tr w:rsidR="00CD587E" w14:paraId="3A882B41" w14:textId="77777777" w:rsidTr="00CD58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67CD" w14:textId="77777777" w:rsidR="00CD587E" w:rsidRDefault="00CD587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051C" w14:textId="77777777" w:rsidR="00CD587E" w:rsidRDefault="00CD587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AA48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8"/>
                <w:szCs w:val="28"/>
              </w:rPr>
              <w:t>A1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8552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8"/>
                <w:szCs w:val="28"/>
              </w:rPr>
              <w:t>A2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5A41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8"/>
                <w:szCs w:val="28"/>
              </w:rPr>
              <w:t>B1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43B0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8"/>
                <w:szCs w:val="28"/>
              </w:rPr>
              <w:t>B2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62C5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8"/>
                <w:szCs w:val="28"/>
              </w:rPr>
              <w:t>C1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035E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8"/>
                <w:szCs w:val="28"/>
              </w:rPr>
              <w:t>C2</w:t>
            </w:r>
          </w:p>
        </w:tc>
      </w:tr>
      <w:tr w:rsidR="00CD587E" w14:paraId="4A3A721B" w14:textId="77777777" w:rsidTr="00CD587E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2B11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E578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</w:rPr>
              <w:t>Kursa ilgums (</w:t>
            </w:r>
            <w:proofErr w:type="spellStart"/>
            <w:r>
              <w:rPr>
                <w:bCs/>
                <w:iCs/>
              </w:rPr>
              <w:t>akad.stundas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1293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4D0C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8F50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D49E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821A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C49B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</w:tr>
      <w:tr w:rsidR="00CD587E" w14:paraId="7367DBEC" w14:textId="77777777" w:rsidTr="00CD587E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6321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C359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</w:rPr>
              <w:t>Vienas akadēmiskās mācību stundas cena (EUR) par līmeni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2FC8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EEA3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BB07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F73F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27E5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4759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 </w:t>
            </w:r>
          </w:p>
        </w:tc>
      </w:tr>
      <w:tr w:rsidR="00CD587E" w14:paraId="6C118A82" w14:textId="77777777" w:rsidTr="00CD587E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EE95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C217" w14:textId="77777777" w:rsidR="00CD587E" w:rsidRDefault="00CD587E">
            <w:pPr>
              <w:spacing w:before="6" w:after="100" w:afterAutospacing="1"/>
              <w:jc w:val="center"/>
            </w:pPr>
            <w:r>
              <w:rPr>
                <w:bCs/>
                <w:iCs/>
              </w:rPr>
              <w:t>Tehniskie palīglīdzekļi, literatūra u.t.t. (ja tāda tiek piedāvāta mācību procesā)</w:t>
            </w:r>
          </w:p>
        </w:tc>
        <w:tc>
          <w:tcPr>
            <w:tcW w:w="5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BEDB" w14:textId="77777777" w:rsidR="00CD587E" w:rsidRDefault="00CD587E">
            <w:pPr>
              <w:spacing w:before="6" w:after="100" w:afterAutospacing="1"/>
            </w:pPr>
            <w:r>
              <w:rPr>
                <w:bCs/>
                <w:iCs/>
                <w:sz w:val="28"/>
                <w:szCs w:val="28"/>
              </w:rPr>
              <w:t>Mācību grāmatu (dažādu, ja nepieciešams) lietošana iekļauta cenā. Attālināto mācību platformu lietošana ir iekļauta cenā.</w:t>
            </w:r>
          </w:p>
        </w:tc>
      </w:tr>
    </w:tbl>
    <w:p w14:paraId="4C738CC1" w14:textId="77777777" w:rsidR="008C08B5" w:rsidRPr="00E41A1A" w:rsidRDefault="008C08B5" w:rsidP="008C08B5">
      <w:pPr>
        <w:spacing w:before="6"/>
        <w:rPr>
          <w:bCs/>
          <w:iCs/>
        </w:rPr>
      </w:pPr>
      <w:r w:rsidRPr="00E41A1A">
        <w:rPr>
          <w:bCs/>
          <w:iCs/>
        </w:rPr>
        <w:t xml:space="preserve">A: </w:t>
      </w:r>
      <w:proofErr w:type="spellStart"/>
      <w:r w:rsidRPr="00E41A1A">
        <w:rPr>
          <w:bCs/>
          <w:iCs/>
        </w:rPr>
        <w:t>pamatlīmenis</w:t>
      </w:r>
      <w:proofErr w:type="spellEnd"/>
    </w:p>
    <w:p w14:paraId="07EBA8D9" w14:textId="77777777" w:rsidR="008C08B5" w:rsidRPr="00E41A1A" w:rsidRDefault="008C08B5" w:rsidP="008C08B5">
      <w:pPr>
        <w:spacing w:before="6"/>
        <w:rPr>
          <w:bCs/>
          <w:iCs/>
        </w:rPr>
      </w:pPr>
      <w:r w:rsidRPr="00E41A1A">
        <w:rPr>
          <w:bCs/>
          <w:iCs/>
        </w:rPr>
        <w:t>A1 – iesācēju līmenis (</w:t>
      </w:r>
      <w:proofErr w:type="spellStart"/>
      <w:r w:rsidRPr="00E41A1A">
        <w:rPr>
          <w:bCs/>
          <w:iCs/>
        </w:rPr>
        <w:t>Breakthrough</w:t>
      </w:r>
      <w:proofErr w:type="spellEnd"/>
      <w:r w:rsidRPr="00E41A1A">
        <w:rPr>
          <w:bCs/>
          <w:iCs/>
        </w:rPr>
        <w:t xml:space="preserve"> jeb </w:t>
      </w:r>
      <w:proofErr w:type="spellStart"/>
      <w:r w:rsidRPr="00E41A1A">
        <w:rPr>
          <w:bCs/>
          <w:iCs/>
        </w:rPr>
        <w:t>Beginners</w:t>
      </w:r>
      <w:proofErr w:type="spellEnd"/>
      <w:r w:rsidRPr="00E41A1A">
        <w:rPr>
          <w:bCs/>
          <w:iCs/>
        </w:rPr>
        <w:t>)</w:t>
      </w:r>
    </w:p>
    <w:p w14:paraId="76B95369" w14:textId="77777777" w:rsidR="008C08B5" w:rsidRPr="00E41A1A" w:rsidRDefault="008C08B5" w:rsidP="008C08B5">
      <w:pPr>
        <w:spacing w:before="6"/>
        <w:rPr>
          <w:bCs/>
          <w:iCs/>
        </w:rPr>
      </w:pPr>
      <w:r w:rsidRPr="00E41A1A">
        <w:rPr>
          <w:bCs/>
          <w:iCs/>
        </w:rPr>
        <w:t>A2 – elementārais līmenis (</w:t>
      </w:r>
      <w:proofErr w:type="spellStart"/>
      <w:r w:rsidRPr="00E41A1A">
        <w:rPr>
          <w:bCs/>
          <w:iCs/>
        </w:rPr>
        <w:t>Waystage</w:t>
      </w:r>
      <w:proofErr w:type="spellEnd"/>
      <w:r w:rsidRPr="00E41A1A">
        <w:rPr>
          <w:bCs/>
          <w:iCs/>
        </w:rPr>
        <w:t xml:space="preserve"> jeb </w:t>
      </w:r>
      <w:proofErr w:type="spellStart"/>
      <w:r w:rsidRPr="00E41A1A">
        <w:rPr>
          <w:bCs/>
          <w:iCs/>
        </w:rPr>
        <w:t>Elementary</w:t>
      </w:r>
      <w:proofErr w:type="spellEnd"/>
      <w:r w:rsidRPr="00E41A1A">
        <w:rPr>
          <w:bCs/>
          <w:iCs/>
        </w:rPr>
        <w:t>)</w:t>
      </w:r>
    </w:p>
    <w:p w14:paraId="3EC1E765" w14:textId="77777777" w:rsidR="008C08B5" w:rsidRPr="00E41A1A" w:rsidRDefault="008C08B5" w:rsidP="008C08B5">
      <w:pPr>
        <w:spacing w:before="6"/>
        <w:rPr>
          <w:bCs/>
          <w:iCs/>
        </w:rPr>
      </w:pPr>
      <w:r w:rsidRPr="00E41A1A">
        <w:rPr>
          <w:bCs/>
          <w:iCs/>
        </w:rPr>
        <w:t>B: vidējais līmenis</w:t>
      </w:r>
    </w:p>
    <w:p w14:paraId="2FD6D819" w14:textId="77777777" w:rsidR="008C08B5" w:rsidRPr="00E41A1A" w:rsidRDefault="008C08B5" w:rsidP="008C08B5">
      <w:pPr>
        <w:spacing w:before="6"/>
        <w:rPr>
          <w:bCs/>
          <w:iCs/>
        </w:rPr>
      </w:pPr>
      <w:r w:rsidRPr="00E41A1A">
        <w:rPr>
          <w:bCs/>
          <w:iCs/>
        </w:rPr>
        <w:t>B1 – zemāks par vidējo līmeni (</w:t>
      </w:r>
      <w:proofErr w:type="spellStart"/>
      <w:r w:rsidRPr="00E41A1A">
        <w:rPr>
          <w:bCs/>
          <w:iCs/>
        </w:rPr>
        <w:t>Threshold</w:t>
      </w:r>
      <w:proofErr w:type="spellEnd"/>
      <w:r w:rsidRPr="00E41A1A">
        <w:rPr>
          <w:bCs/>
          <w:iCs/>
        </w:rPr>
        <w:t xml:space="preserve"> jeb </w:t>
      </w:r>
      <w:proofErr w:type="spellStart"/>
      <w:r w:rsidRPr="00E41A1A">
        <w:rPr>
          <w:bCs/>
          <w:iCs/>
        </w:rPr>
        <w:t>Pre-Intermediate</w:t>
      </w:r>
      <w:proofErr w:type="spellEnd"/>
      <w:r w:rsidRPr="00E41A1A">
        <w:rPr>
          <w:bCs/>
          <w:iCs/>
        </w:rPr>
        <w:t>)</w:t>
      </w:r>
    </w:p>
    <w:p w14:paraId="602CF8B8" w14:textId="77777777" w:rsidR="008C08B5" w:rsidRPr="00E41A1A" w:rsidRDefault="008C08B5" w:rsidP="008C08B5">
      <w:pPr>
        <w:spacing w:before="6"/>
        <w:rPr>
          <w:bCs/>
          <w:iCs/>
        </w:rPr>
      </w:pPr>
      <w:r w:rsidRPr="00E41A1A">
        <w:rPr>
          <w:bCs/>
          <w:iCs/>
        </w:rPr>
        <w:t>B2 – vidējais līmenis (</w:t>
      </w:r>
      <w:proofErr w:type="spellStart"/>
      <w:r w:rsidRPr="00E41A1A">
        <w:rPr>
          <w:bCs/>
          <w:iCs/>
        </w:rPr>
        <w:t>Vantage</w:t>
      </w:r>
      <w:proofErr w:type="spellEnd"/>
      <w:r w:rsidRPr="00E41A1A">
        <w:rPr>
          <w:bCs/>
          <w:iCs/>
        </w:rPr>
        <w:t xml:space="preserve"> jeb </w:t>
      </w:r>
      <w:proofErr w:type="spellStart"/>
      <w:r w:rsidRPr="00E41A1A">
        <w:rPr>
          <w:bCs/>
          <w:iCs/>
        </w:rPr>
        <w:t>Upper-Intermediate</w:t>
      </w:r>
      <w:proofErr w:type="spellEnd"/>
      <w:r w:rsidRPr="00E41A1A">
        <w:rPr>
          <w:bCs/>
          <w:iCs/>
        </w:rPr>
        <w:t>)</w:t>
      </w:r>
    </w:p>
    <w:p w14:paraId="384E892E" w14:textId="77777777" w:rsidR="008C08B5" w:rsidRPr="00E41A1A" w:rsidRDefault="008C08B5" w:rsidP="008C08B5">
      <w:pPr>
        <w:spacing w:before="6"/>
        <w:rPr>
          <w:bCs/>
          <w:iCs/>
        </w:rPr>
      </w:pPr>
      <w:r w:rsidRPr="00E41A1A">
        <w:rPr>
          <w:bCs/>
          <w:iCs/>
        </w:rPr>
        <w:t>C: augstākais līmenis</w:t>
      </w:r>
    </w:p>
    <w:p w14:paraId="37F1777D" w14:textId="77777777" w:rsidR="008C08B5" w:rsidRPr="00E41A1A" w:rsidRDefault="008C08B5" w:rsidP="008C08B5">
      <w:pPr>
        <w:spacing w:before="6"/>
        <w:rPr>
          <w:bCs/>
          <w:iCs/>
        </w:rPr>
      </w:pPr>
      <w:r w:rsidRPr="00E41A1A">
        <w:rPr>
          <w:bCs/>
          <w:iCs/>
        </w:rPr>
        <w:t>C1 – augstāks par vidējo līmeni (</w:t>
      </w:r>
      <w:proofErr w:type="spellStart"/>
      <w:r w:rsidRPr="00E41A1A">
        <w:rPr>
          <w:bCs/>
          <w:iCs/>
        </w:rPr>
        <w:t>Effective</w:t>
      </w:r>
      <w:proofErr w:type="spellEnd"/>
      <w:r w:rsidRPr="00E41A1A">
        <w:rPr>
          <w:bCs/>
          <w:iCs/>
        </w:rPr>
        <w:t xml:space="preserve"> </w:t>
      </w:r>
      <w:proofErr w:type="spellStart"/>
      <w:r w:rsidRPr="00E41A1A">
        <w:rPr>
          <w:bCs/>
          <w:iCs/>
        </w:rPr>
        <w:t>Operational</w:t>
      </w:r>
      <w:proofErr w:type="spellEnd"/>
      <w:r w:rsidRPr="00E41A1A">
        <w:rPr>
          <w:bCs/>
          <w:iCs/>
        </w:rPr>
        <w:t xml:space="preserve"> </w:t>
      </w:r>
      <w:proofErr w:type="spellStart"/>
      <w:r w:rsidRPr="00E41A1A">
        <w:rPr>
          <w:bCs/>
          <w:iCs/>
        </w:rPr>
        <w:t>Proficiency</w:t>
      </w:r>
      <w:proofErr w:type="spellEnd"/>
      <w:r w:rsidRPr="00E41A1A">
        <w:rPr>
          <w:bCs/>
          <w:iCs/>
        </w:rPr>
        <w:t xml:space="preserve"> jeb </w:t>
      </w:r>
      <w:proofErr w:type="spellStart"/>
      <w:r w:rsidRPr="00E41A1A">
        <w:rPr>
          <w:bCs/>
          <w:iCs/>
        </w:rPr>
        <w:t>Advanced</w:t>
      </w:r>
      <w:proofErr w:type="spellEnd"/>
      <w:r w:rsidRPr="00E41A1A">
        <w:rPr>
          <w:bCs/>
          <w:iCs/>
        </w:rPr>
        <w:t>)</w:t>
      </w:r>
    </w:p>
    <w:p w14:paraId="4581BEB7" w14:textId="77777777" w:rsidR="008C08B5" w:rsidRPr="00E41A1A" w:rsidRDefault="008C08B5" w:rsidP="008C08B5">
      <w:pPr>
        <w:spacing w:before="6"/>
        <w:rPr>
          <w:bCs/>
          <w:iCs/>
        </w:rPr>
      </w:pPr>
      <w:r w:rsidRPr="00E41A1A">
        <w:rPr>
          <w:bCs/>
          <w:iCs/>
        </w:rPr>
        <w:t>C2 –  eksperta līmenis (</w:t>
      </w:r>
      <w:proofErr w:type="spellStart"/>
      <w:r w:rsidRPr="00E41A1A">
        <w:rPr>
          <w:bCs/>
          <w:iCs/>
        </w:rPr>
        <w:t>Mastery</w:t>
      </w:r>
      <w:proofErr w:type="spellEnd"/>
      <w:r w:rsidRPr="00E41A1A">
        <w:rPr>
          <w:bCs/>
          <w:iCs/>
        </w:rPr>
        <w:t xml:space="preserve"> jeb </w:t>
      </w:r>
      <w:proofErr w:type="spellStart"/>
      <w:r w:rsidRPr="00E41A1A">
        <w:rPr>
          <w:bCs/>
          <w:iCs/>
        </w:rPr>
        <w:t>Proficiency</w:t>
      </w:r>
      <w:proofErr w:type="spellEnd"/>
      <w:r w:rsidRPr="00E41A1A">
        <w:rPr>
          <w:bCs/>
          <w:iCs/>
        </w:rPr>
        <w:t>)</w:t>
      </w:r>
    </w:p>
    <w:p w14:paraId="1D7E5730" w14:textId="77777777" w:rsidR="008C08B5" w:rsidRPr="00E41A1A" w:rsidRDefault="008C08B5" w:rsidP="008C08B5">
      <w:pPr>
        <w:spacing w:before="6"/>
        <w:rPr>
          <w:bCs/>
          <w:iCs/>
          <w:sz w:val="28"/>
          <w:szCs w:val="28"/>
        </w:rPr>
      </w:pPr>
      <w:r w:rsidRPr="00E41A1A">
        <w:rPr>
          <w:i/>
        </w:rPr>
        <w:t>Aizpilda pretendents, raksturojot savas spējas nodrošināt prasību ievērošanu.</w:t>
      </w:r>
    </w:p>
    <w:p w14:paraId="12E384B6" w14:textId="77777777" w:rsidR="008C08B5" w:rsidRDefault="008C08B5" w:rsidP="008C08B5">
      <w:pPr>
        <w:spacing w:before="6"/>
        <w:rPr>
          <w:bCs/>
          <w:iCs/>
          <w:sz w:val="28"/>
          <w:szCs w:val="28"/>
        </w:rPr>
      </w:pPr>
    </w:p>
    <w:p w14:paraId="3D66FD67" w14:textId="77777777" w:rsidR="008C08B5" w:rsidRDefault="008C08B5" w:rsidP="008C08B5">
      <w:pPr>
        <w:spacing w:before="6"/>
        <w:rPr>
          <w:bCs/>
          <w:iCs/>
          <w:sz w:val="28"/>
          <w:szCs w:val="28"/>
        </w:rPr>
      </w:pPr>
    </w:p>
    <w:p w14:paraId="3314369B" w14:textId="77777777" w:rsidR="008C08B5" w:rsidRPr="00E41A1A" w:rsidRDefault="008C08B5" w:rsidP="008C08B5">
      <w:pPr>
        <w:spacing w:before="6"/>
        <w:rPr>
          <w:bCs/>
          <w:iCs/>
          <w:sz w:val="28"/>
          <w:szCs w:val="28"/>
        </w:rPr>
      </w:pPr>
    </w:p>
    <w:p w14:paraId="441D3C1F" w14:textId="77777777" w:rsidR="008C08B5" w:rsidRPr="00E41A1A" w:rsidRDefault="008C08B5" w:rsidP="0087015A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</w:p>
    <w:p w14:paraId="5AD1E6E5" w14:textId="11EE581E" w:rsidR="004C694D" w:rsidRPr="00A37811" w:rsidRDefault="004C694D" w:rsidP="004C694D">
      <w:pPr>
        <w:spacing w:before="6"/>
        <w:rPr>
          <w:rFonts w:cs="Times New Roman"/>
          <w:bCs/>
          <w:iCs/>
          <w:sz w:val="28"/>
          <w:szCs w:val="28"/>
        </w:rPr>
      </w:pPr>
    </w:p>
    <w:p w14:paraId="338DF84A" w14:textId="2CD2B251" w:rsidR="004C694D" w:rsidRDefault="004C694D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p w14:paraId="2A0F9B47" w14:textId="477EA7CC" w:rsidR="00B706E6" w:rsidRDefault="00B706E6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p w14:paraId="60F807F6" w14:textId="6004999B" w:rsidR="00A47775" w:rsidRDefault="00A47775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p w14:paraId="2B85A939" w14:textId="78114928" w:rsidR="00A47775" w:rsidRDefault="00A47775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p w14:paraId="4A308382" w14:textId="35E029C9" w:rsidR="00A47775" w:rsidRDefault="00A47775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p w14:paraId="73AFD191" w14:textId="77777777" w:rsidR="00A47775" w:rsidRPr="00A37811" w:rsidRDefault="00A47775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sectPr w:rsidR="00A47775" w:rsidRPr="00A37811" w:rsidSect="00E41A1A">
      <w:headerReference w:type="default" r:id="rId10"/>
      <w:pgSz w:w="11906" w:h="16838" w:code="9"/>
      <w:pgMar w:top="851" w:right="992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64872" w14:textId="77777777" w:rsidR="00CD669A" w:rsidRDefault="00CD669A">
      <w:r>
        <w:separator/>
      </w:r>
    </w:p>
  </w:endnote>
  <w:endnote w:type="continuationSeparator" w:id="0">
    <w:p w14:paraId="2C1CBA95" w14:textId="77777777" w:rsidR="00CD669A" w:rsidRDefault="00CD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IDAutomationHC39M"/>
    <w:panose1 w:val="00000400000000000000"/>
    <w:charset w:val="01"/>
    <w:family w:val="roman"/>
    <w:notTrueType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09CC1" w14:textId="77777777" w:rsidR="00CD669A" w:rsidRDefault="00CD669A">
      <w:r>
        <w:separator/>
      </w:r>
    </w:p>
  </w:footnote>
  <w:footnote w:type="continuationSeparator" w:id="0">
    <w:p w14:paraId="3723B8F1" w14:textId="77777777" w:rsidR="00CD669A" w:rsidRDefault="00CD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06AB" w14:textId="123C8EBF" w:rsidR="00D02419" w:rsidRDefault="00D0241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460B8" w:rsidRPr="005460B8">
      <w:rPr>
        <w:noProof/>
        <w:lang w:val="lv-LV"/>
      </w:rPr>
      <w:t>5</w:t>
    </w:r>
    <w:r>
      <w:fldChar w:fldCharType="end"/>
    </w:r>
  </w:p>
  <w:p w14:paraId="4B20A4E3" w14:textId="77777777" w:rsidR="00D02419" w:rsidRDefault="00D02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E7EBB"/>
    <w:multiLevelType w:val="hybridMultilevel"/>
    <w:tmpl w:val="37C4ED82"/>
    <w:lvl w:ilvl="0" w:tplc="481A7A0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2594"/>
    <w:multiLevelType w:val="multilevel"/>
    <w:tmpl w:val="982C47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B514E0F"/>
    <w:multiLevelType w:val="hybridMultilevel"/>
    <w:tmpl w:val="B5AE60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59"/>
    <w:rsid w:val="0000707B"/>
    <w:rsid w:val="00040EA9"/>
    <w:rsid w:val="00040F8D"/>
    <w:rsid w:val="00053317"/>
    <w:rsid w:val="00057AF0"/>
    <w:rsid w:val="00064A85"/>
    <w:rsid w:val="00072AB1"/>
    <w:rsid w:val="00075C24"/>
    <w:rsid w:val="000A7BAA"/>
    <w:rsid w:val="000B229A"/>
    <w:rsid w:val="000C01D7"/>
    <w:rsid w:val="000C62D9"/>
    <w:rsid w:val="000D5E57"/>
    <w:rsid w:val="00104791"/>
    <w:rsid w:val="00106412"/>
    <w:rsid w:val="001100DC"/>
    <w:rsid w:val="00123816"/>
    <w:rsid w:val="00127CCC"/>
    <w:rsid w:val="001341A7"/>
    <w:rsid w:val="00136F34"/>
    <w:rsid w:val="00163EFB"/>
    <w:rsid w:val="001712CC"/>
    <w:rsid w:val="0018164B"/>
    <w:rsid w:val="00183BD8"/>
    <w:rsid w:val="001867A2"/>
    <w:rsid w:val="00192AEA"/>
    <w:rsid w:val="001A2A7E"/>
    <w:rsid w:val="001B61AA"/>
    <w:rsid w:val="001F4859"/>
    <w:rsid w:val="002232D8"/>
    <w:rsid w:val="00227510"/>
    <w:rsid w:val="0023330D"/>
    <w:rsid w:val="002368F2"/>
    <w:rsid w:val="0025061E"/>
    <w:rsid w:val="00265323"/>
    <w:rsid w:val="00272FA0"/>
    <w:rsid w:val="00275257"/>
    <w:rsid w:val="002960E5"/>
    <w:rsid w:val="00297397"/>
    <w:rsid w:val="002C0674"/>
    <w:rsid w:val="002C0F49"/>
    <w:rsid w:val="002F3DE2"/>
    <w:rsid w:val="00304F17"/>
    <w:rsid w:val="003061BB"/>
    <w:rsid w:val="003115C9"/>
    <w:rsid w:val="0032318F"/>
    <w:rsid w:val="003464CF"/>
    <w:rsid w:val="003507EF"/>
    <w:rsid w:val="00355F39"/>
    <w:rsid w:val="003624CF"/>
    <w:rsid w:val="00364D2B"/>
    <w:rsid w:val="0037228C"/>
    <w:rsid w:val="00393152"/>
    <w:rsid w:val="003A446F"/>
    <w:rsid w:val="003D08BB"/>
    <w:rsid w:val="003D652D"/>
    <w:rsid w:val="003E6B1F"/>
    <w:rsid w:val="003F2F80"/>
    <w:rsid w:val="004252B9"/>
    <w:rsid w:val="00431CB8"/>
    <w:rsid w:val="0043363A"/>
    <w:rsid w:val="00447640"/>
    <w:rsid w:val="004658D4"/>
    <w:rsid w:val="00466598"/>
    <w:rsid w:val="00471C56"/>
    <w:rsid w:val="004A6789"/>
    <w:rsid w:val="004B32C6"/>
    <w:rsid w:val="004B787F"/>
    <w:rsid w:val="004C3E6D"/>
    <w:rsid w:val="004C694D"/>
    <w:rsid w:val="004C746E"/>
    <w:rsid w:val="004D3F17"/>
    <w:rsid w:val="004E080A"/>
    <w:rsid w:val="004F1D86"/>
    <w:rsid w:val="004F7526"/>
    <w:rsid w:val="0051384A"/>
    <w:rsid w:val="005319AC"/>
    <w:rsid w:val="0053299F"/>
    <w:rsid w:val="005342CF"/>
    <w:rsid w:val="005460B8"/>
    <w:rsid w:val="00555A44"/>
    <w:rsid w:val="005707A4"/>
    <w:rsid w:val="0057246A"/>
    <w:rsid w:val="005838F5"/>
    <w:rsid w:val="00584945"/>
    <w:rsid w:val="00592CF0"/>
    <w:rsid w:val="005C4F77"/>
    <w:rsid w:val="005C55D5"/>
    <w:rsid w:val="005D2C49"/>
    <w:rsid w:val="00601CDA"/>
    <w:rsid w:val="00603915"/>
    <w:rsid w:val="00627895"/>
    <w:rsid w:val="006474D8"/>
    <w:rsid w:val="00694E3D"/>
    <w:rsid w:val="006B6B5C"/>
    <w:rsid w:val="006D66CD"/>
    <w:rsid w:val="00720BEA"/>
    <w:rsid w:val="00732375"/>
    <w:rsid w:val="0073496B"/>
    <w:rsid w:val="00740308"/>
    <w:rsid w:val="00746D09"/>
    <w:rsid w:val="00763999"/>
    <w:rsid w:val="00763B1D"/>
    <w:rsid w:val="00784E31"/>
    <w:rsid w:val="0078737B"/>
    <w:rsid w:val="007A12DB"/>
    <w:rsid w:val="007B5146"/>
    <w:rsid w:val="007B638A"/>
    <w:rsid w:val="007E55B3"/>
    <w:rsid w:val="00833464"/>
    <w:rsid w:val="00836D49"/>
    <w:rsid w:val="0084666C"/>
    <w:rsid w:val="0084736A"/>
    <w:rsid w:val="00847A6C"/>
    <w:rsid w:val="008637B6"/>
    <w:rsid w:val="00864EF6"/>
    <w:rsid w:val="008650E3"/>
    <w:rsid w:val="0087015A"/>
    <w:rsid w:val="008774AD"/>
    <w:rsid w:val="00896BA0"/>
    <w:rsid w:val="008B2F7D"/>
    <w:rsid w:val="008B32AE"/>
    <w:rsid w:val="008C08B5"/>
    <w:rsid w:val="008C3BC2"/>
    <w:rsid w:val="008D472E"/>
    <w:rsid w:val="008F156D"/>
    <w:rsid w:val="008F5AB8"/>
    <w:rsid w:val="00904DC7"/>
    <w:rsid w:val="00915CD0"/>
    <w:rsid w:val="00925D4E"/>
    <w:rsid w:val="00956B20"/>
    <w:rsid w:val="00960EAF"/>
    <w:rsid w:val="009658DD"/>
    <w:rsid w:val="00965C64"/>
    <w:rsid w:val="00972072"/>
    <w:rsid w:val="009974E4"/>
    <w:rsid w:val="009B53B8"/>
    <w:rsid w:val="009C2A9D"/>
    <w:rsid w:val="009E17B8"/>
    <w:rsid w:val="009E4E96"/>
    <w:rsid w:val="00A0724C"/>
    <w:rsid w:val="00A11436"/>
    <w:rsid w:val="00A338EC"/>
    <w:rsid w:val="00A37811"/>
    <w:rsid w:val="00A47775"/>
    <w:rsid w:val="00A6641E"/>
    <w:rsid w:val="00A8609D"/>
    <w:rsid w:val="00AA5966"/>
    <w:rsid w:val="00AC44A4"/>
    <w:rsid w:val="00AD03FB"/>
    <w:rsid w:val="00AE4932"/>
    <w:rsid w:val="00AF1947"/>
    <w:rsid w:val="00AF7183"/>
    <w:rsid w:val="00AF72C3"/>
    <w:rsid w:val="00B059BB"/>
    <w:rsid w:val="00B0751F"/>
    <w:rsid w:val="00B10E7E"/>
    <w:rsid w:val="00B209BC"/>
    <w:rsid w:val="00B24CC8"/>
    <w:rsid w:val="00B37043"/>
    <w:rsid w:val="00B706E6"/>
    <w:rsid w:val="00B856C9"/>
    <w:rsid w:val="00BA7986"/>
    <w:rsid w:val="00BB36D8"/>
    <w:rsid w:val="00BC58AC"/>
    <w:rsid w:val="00BD3CF2"/>
    <w:rsid w:val="00C14A10"/>
    <w:rsid w:val="00C25479"/>
    <w:rsid w:val="00C42083"/>
    <w:rsid w:val="00C44453"/>
    <w:rsid w:val="00C73279"/>
    <w:rsid w:val="00C805EC"/>
    <w:rsid w:val="00C93987"/>
    <w:rsid w:val="00CC5434"/>
    <w:rsid w:val="00CD587E"/>
    <w:rsid w:val="00CD669A"/>
    <w:rsid w:val="00CE3CF3"/>
    <w:rsid w:val="00CE431C"/>
    <w:rsid w:val="00CE7020"/>
    <w:rsid w:val="00D02419"/>
    <w:rsid w:val="00D03449"/>
    <w:rsid w:val="00D13E32"/>
    <w:rsid w:val="00D212A3"/>
    <w:rsid w:val="00D32662"/>
    <w:rsid w:val="00D41DB2"/>
    <w:rsid w:val="00D470AB"/>
    <w:rsid w:val="00D5210E"/>
    <w:rsid w:val="00D55816"/>
    <w:rsid w:val="00D64E08"/>
    <w:rsid w:val="00D9532B"/>
    <w:rsid w:val="00DA39CA"/>
    <w:rsid w:val="00DD080D"/>
    <w:rsid w:val="00DE37BD"/>
    <w:rsid w:val="00DF630A"/>
    <w:rsid w:val="00E14D62"/>
    <w:rsid w:val="00E323F9"/>
    <w:rsid w:val="00E41A1A"/>
    <w:rsid w:val="00E61978"/>
    <w:rsid w:val="00E70DC1"/>
    <w:rsid w:val="00E743A1"/>
    <w:rsid w:val="00E7791A"/>
    <w:rsid w:val="00EA52E9"/>
    <w:rsid w:val="00EC5559"/>
    <w:rsid w:val="00F04654"/>
    <w:rsid w:val="00F26439"/>
    <w:rsid w:val="00F311D6"/>
    <w:rsid w:val="00F343AC"/>
    <w:rsid w:val="00F369F7"/>
    <w:rsid w:val="00F46F51"/>
    <w:rsid w:val="00F64C4A"/>
    <w:rsid w:val="00F67F2D"/>
    <w:rsid w:val="00F723B3"/>
    <w:rsid w:val="00F82582"/>
    <w:rsid w:val="00F9573B"/>
    <w:rsid w:val="00F96D8C"/>
    <w:rsid w:val="00FC5372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286E"/>
  <w15:docId w15:val="{A05A6C82-B431-442E-A7DC-B1F9C359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18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5559"/>
    <w:rPr>
      <w:color w:val="0000FF"/>
      <w:u w:val="single"/>
    </w:rPr>
  </w:style>
  <w:style w:type="character" w:styleId="CommentReference">
    <w:name w:val="annotation reference"/>
    <w:uiPriority w:val="99"/>
    <w:rsid w:val="00EC5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5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55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EC5559"/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5559"/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WW-Default">
    <w:name w:val="WW-Default"/>
    <w:rsid w:val="00EC55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EC5559"/>
    <w:pPr>
      <w:spacing w:before="280" w:after="119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59"/>
    <w:rPr>
      <w:rFonts w:ascii="Segoe UI" w:eastAsia="Times New Roman" w:hAnsi="Segoe UI" w:cs="Segoe UI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EA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F4859"/>
    <w:pPr>
      <w:ind w:left="720"/>
      <w:contextualSpacing/>
    </w:pPr>
  </w:style>
  <w:style w:type="table" w:styleId="TableGrid">
    <w:name w:val="Table Grid"/>
    <w:basedOn w:val="TableNormal"/>
    <w:uiPriority w:val="59"/>
    <w:rsid w:val="004E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ga.paegle@koledza.vp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EAF1-8F5B-4160-9319-56FC48D3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4696</Words>
  <Characters>2678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Marita Grunte</dc:creator>
  <cp:lastModifiedBy>Iveta Kopmane</cp:lastModifiedBy>
  <cp:revision>15</cp:revision>
  <cp:lastPrinted>2018-12-13T06:57:00Z</cp:lastPrinted>
  <dcterms:created xsi:type="dcterms:W3CDTF">2022-10-05T07:43:00Z</dcterms:created>
  <dcterms:modified xsi:type="dcterms:W3CDTF">2022-10-12T07:30:00Z</dcterms:modified>
</cp:coreProperties>
</file>