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D1" w:rsidRDefault="00900CD1" w:rsidP="00900CD1">
      <w:pPr>
        <w:spacing w:after="0" w:line="240" w:lineRule="auto"/>
        <w:ind w:left="720"/>
        <w:jc w:val="right"/>
      </w:pPr>
      <w:bookmarkStart w:id="0" w:name="588917"/>
      <w:bookmarkEnd w:id="0"/>
      <w:r>
        <w:t>3. pielikums</w:t>
      </w:r>
    </w:p>
    <w:p w:rsidR="00900CD1" w:rsidRDefault="00900CD1" w:rsidP="00900CD1">
      <w:pPr>
        <w:spacing w:after="0" w:line="240" w:lineRule="auto"/>
        <w:ind w:left="720"/>
        <w:jc w:val="right"/>
      </w:pPr>
      <w:r>
        <w:t>Ministru kabineta</w:t>
      </w:r>
    </w:p>
    <w:p w:rsidR="00900CD1" w:rsidRDefault="00900CD1" w:rsidP="00900CD1">
      <w:pPr>
        <w:spacing w:after="0" w:line="240" w:lineRule="auto"/>
        <w:ind w:left="720"/>
        <w:jc w:val="right"/>
      </w:pPr>
      <w:r>
        <w:t>2016. gada 12. aprīļa</w:t>
      </w:r>
    </w:p>
    <w:p w:rsidR="00900CD1" w:rsidRDefault="00900CD1" w:rsidP="00900CD1">
      <w:pPr>
        <w:spacing w:after="0" w:line="240" w:lineRule="auto"/>
        <w:ind w:left="720"/>
        <w:jc w:val="right"/>
        <w:rPr>
          <w:rFonts w:ascii="Times New Roman" w:eastAsia="Times New Roman" w:hAnsi="Times New Roman"/>
          <w:b/>
          <w:bCs/>
          <w:color w:val="414142"/>
          <w:sz w:val="24"/>
          <w:szCs w:val="24"/>
          <w:lang w:eastAsia="lv-LV"/>
        </w:rPr>
      </w:pPr>
      <w:r>
        <w:t>noteikumiem Nr. 225</w:t>
      </w:r>
    </w:p>
    <w:p w:rsidR="00900CD1" w:rsidRDefault="00900CD1" w:rsidP="00900C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</w:p>
    <w:p w:rsidR="00B2447C" w:rsidRPr="005B4978" w:rsidRDefault="00B2447C" w:rsidP="00B24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  <w:r w:rsidRPr="005B4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Informācija par piemaksām, prēmijām, naudas balvām, sociālajām garantijām un to noteikšanas kritērijiem institūcijā</w:t>
      </w:r>
    </w:p>
    <w:p w:rsidR="00B2447C" w:rsidRPr="005B4978" w:rsidRDefault="00B2447C" w:rsidP="00B2447C">
      <w:pPr>
        <w:spacing w:before="100" w:beforeAutospacing="1" w:after="100" w:afterAutospacing="1" w:line="36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5B4978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1. tabula</w:t>
      </w:r>
    </w:p>
    <w:p w:rsidR="00B2447C" w:rsidRPr="005B4978" w:rsidRDefault="00B2447C" w:rsidP="00B2447C">
      <w:pPr>
        <w:spacing w:before="100" w:beforeAutospacing="1" w:after="100" w:afterAutospacing="1" w:line="36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  <w:r w:rsidRPr="005B49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Informācija par piemaksām, prēmijām un naudas balvām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5"/>
        <w:gridCol w:w="2238"/>
        <w:gridCol w:w="219"/>
        <w:gridCol w:w="1742"/>
        <w:gridCol w:w="4241"/>
      </w:tblGrid>
      <w:tr w:rsidR="008907D9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7C" w:rsidRPr="005B4978" w:rsidRDefault="00B2447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7C" w:rsidRPr="005B4978" w:rsidRDefault="00B2447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Piemaksas vai prēmijas veids, naudas balva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7C" w:rsidRPr="005B4978" w:rsidRDefault="00B2447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Piemaksas, prēmijas vai naudas balvas apmērs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</w:t>
            </w:r>
            <w:proofErr w:type="spellStart"/>
            <w:r w:rsidRPr="005B4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%)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7C" w:rsidRPr="005B4978" w:rsidRDefault="00B2447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Piešķiršanas pamatojums vai kritēriji</w:t>
            </w:r>
          </w:p>
        </w:tc>
      </w:tr>
      <w:tr w:rsidR="008907D9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7C" w:rsidRPr="005B4978" w:rsidRDefault="00B2447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7C" w:rsidRPr="005B4978" w:rsidRDefault="00B2447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2447C" w:rsidRPr="005B4978" w:rsidRDefault="00B2447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7C" w:rsidRPr="005B4978" w:rsidRDefault="00B2447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3259A6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88C" w:rsidRPr="005B4978" w:rsidRDefault="0091688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464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688C" w:rsidRPr="005B4978" w:rsidRDefault="0091688C" w:rsidP="00916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Speciālā dienesta pakāpe</w:t>
            </w:r>
          </w:p>
          <w:p w:rsidR="0091688C" w:rsidRPr="005B4978" w:rsidRDefault="0091688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907D9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4972B1" w:rsidP="005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920" w:rsidRPr="005B4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Pulkvedis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A52299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299" w:rsidRPr="005B4978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735DB" w:rsidP="00E11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 2016.g.13.decembra noteikumu Nr.806 9.</w:t>
            </w:r>
            <w:r w:rsidR="00E119B7"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.apakšpunkts</w:t>
            </w:r>
          </w:p>
        </w:tc>
      </w:tr>
      <w:tr w:rsidR="008907D9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4972B1" w:rsidP="005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920" w:rsidRPr="005B4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Pulkvežleitnants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A52299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299" w:rsidRPr="005B4978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E119B7" w:rsidP="002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 2016.g.13.decembra noteikumu Nr.806 9.1.apakšpunkts</w:t>
            </w:r>
          </w:p>
        </w:tc>
      </w:tr>
      <w:tr w:rsidR="008907D9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4972B1" w:rsidP="005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920" w:rsidRPr="005B4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Majors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A52299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299" w:rsidRPr="005B4978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E119B7" w:rsidP="002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 2016.g.13.decembra noteikumu Nr.806 9.1.apakšpunkts</w:t>
            </w:r>
          </w:p>
        </w:tc>
      </w:tr>
      <w:tr w:rsidR="008907D9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91688C" w:rsidP="005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920" w:rsidRPr="005B49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Kapteinis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52299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299" w:rsidRPr="005B4978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E119B7" w:rsidP="002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 2016.g.13.decembra noteikumu Nr.806 9.1.apakšpunkts</w:t>
            </w:r>
          </w:p>
        </w:tc>
      </w:tr>
      <w:tr w:rsidR="008907D9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91688C" w:rsidP="005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920" w:rsidRPr="005B49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447C" w:rsidRPr="005B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Virsleitnants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52299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299" w:rsidRPr="005B4978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E119B7" w:rsidP="002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 2016.g.13.decembra noteikumu Nr.806 9.1.apakšpunkts</w:t>
            </w:r>
          </w:p>
        </w:tc>
      </w:tr>
      <w:tr w:rsidR="008907D9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91688C" w:rsidP="005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920" w:rsidRPr="005B49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Leitnants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52299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299" w:rsidRPr="005B4978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E119B7" w:rsidP="002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 2016.g.13.decembra noteikumu Nr.806 9.1.apakšpunkts</w:t>
            </w:r>
          </w:p>
        </w:tc>
      </w:tr>
      <w:tr w:rsidR="008907D9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91688C" w:rsidP="005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920" w:rsidRPr="005B49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Virsniekvietnieks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52299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299" w:rsidRPr="005B4978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E119B7" w:rsidP="002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 2016.g.13.decembra noteikumu Nr.806 9.1.apakšpunkts</w:t>
            </w:r>
          </w:p>
        </w:tc>
      </w:tr>
      <w:tr w:rsidR="008907D9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91688C" w:rsidP="005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920" w:rsidRPr="005B49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Virsseržants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52299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299" w:rsidRPr="005B4978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A52299" w:rsidRPr="005B49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E119B7" w:rsidP="002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 2016.g.13.decembra noteikumu Nr.806 9.1.apakšpunkts</w:t>
            </w:r>
          </w:p>
        </w:tc>
      </w:tr>
      <w:tr w:rsidR="008907D9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91688C" w:rsidP="005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920" w:rsidRPr="005B49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Seržants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52299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299" w:rsidRPr="005B4978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E119B7" w:rsidP="002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 2016.g.13.decembra noteikumu Nr.806 9.1.apakšpunkts</w:t>
            </w:r>
          </w:p>
        </w:tc>
      </w:tr>
      <w:tr w:rsidR="008907D9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91688C" w:rsidP="005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84920" w:rsidRPr="005B49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Kaprālis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2447C" w:rsidRPr="005B4978" w:rsidRDefault="00B2447C" w:rsidP="00B24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52299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299" w:rsidRPr="005B4978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E119B7" w:rsidP="002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 2016.g.13.decembra noteikumu Nr.806 9.1.apakšpunkts</w:t>
            </w:r>
          </w:p>
        </w:tc>
      </w:tr>
      <w:tr w:rsidR="008907D9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91688C" w:rsidP="00584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584920" w:rsidRPr="005B49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B2447C" w:rsidP="00B2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Ierindnieks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B2447C" w:rsidRPr="005B4978" w:rsidRDefault="00B2447C" w:rsidP="00B24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52299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2299" w:rsidRPr="005B4978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E119B7" w:rsidP="00295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 2016.g.13.decembra noteikumu Nr.806 9.1.apakšpunkts</w:t>
            </w:r>
          </w:p>
        </w:tc>
      </w:tr>
      <w:tr w:rsidR="003259A6" w:rsidRPr="005B4978" w:rsidTr="0091688C">
        <w:trPr>
          <w:trHeight w:val="225"/>
          <w:tblCellSpacing w:w="15" w:type="dxa"/>
        </w:trPr>
        <w:tc>
          <w:tcPr>
            <w:tcW w:w="496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688C" w:rsidRPr="005B4978" w:rsidRDefault="0091688C" w:rsidP="00B7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bookmarkStart w:id="1" w:name="571756"/>
            <w:bookmarkEnd w:id="1"/>
            <w:r w:rsidRPr="005B4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Piemaksas par </w:t>
            </w:r>
            <w:r w:rsidR="00B735DB" w:rsidRPr="005B4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nosacījumiem</w:t>
            </w:r>
            <w:r w:rsidRPr="005B4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kas saistīti ar</w:t>
            </w:r>
            <w:r w:rsidR="00B735DB" w:rsidRPr="005B4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amata</w:t>
            </w:r>
            <w:r w:rsidRPr="005B4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35DB" w:rsidRPr="005B4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B4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dienesta</w:t>
            </w:r>
            <w:r w:rsidR="00B735DB" w:rsidRPr="005B4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5B49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specifiku</w:t>
            </w:r>
          </w:p>
        </w:tc>
      </w:tr>
      <w:tr w:rsidR="008907D9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688C" w:rsidRPr="005B4978" w:rsidRDefault="005B4978" w:rsidP="00C85A1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85A17" w:rsidRPr="005B4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1688C" w:rsidRPr="005B4978" w:rsidRDefault="0091688C" w:rsidP="009168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Par dienesta pienākumu pildīšanu kopā ar dienesta suni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688C" w:rsidRPr="005B4978" w:rsidRDefault="0091688C" w:rsidP="00916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līdz 20 % no mēnešalgas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688C" w:rsidRPr="005B4978" w:rsidRDefault="00665BDB" w:rsidP="00B7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MK 201</w:t>
            </w:r>
            <w:r w:rsidR="00B735DB"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.g.</w:t>
            </w:r>
            <w:r w:rsidR="00B735DB"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B735DB"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decembra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noteikumu Nr.</w:t>
            </w:r>
            <w:r w:rsidR="00B735DB"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806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735DB"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  <w:r w:rsidR="00B735DB"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apakšpunkts,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</w:t>
            </w:r>
            <w:r w:rsidR="00B735DB"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.punkts</w:t>
            </w:r>
          </w:p>
        </w:tc>
      </w:tr>
      <w:tr w:rsidR="003259A6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D17" w:rsidRPr="005B4978" w:rsidRDefault="00A42D17" w:rsidP="00C85A17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D17" w:rsidRPr="005B4978" w:rsidRDefault="00A42D17" w:rsidP="0066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hAnsi="Times New Roman" w:cs="Times New Roman"/>
                <w:b/>
                <w:sz w:val="24"/>
                <w:szCs w:val="24"/>
              </w:rPr>
              <w:t>Vispārējās piemaksas</w:t>
            </w:r>
          </w:p>
        </w:tc>
      </w:tr>
      <w:tr w:rsidR="005B4978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F85" w:rsidRPr="005B4978" w:rsidRDefault="007F6F85" w:rsidP="007F6F8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2D17" w:rsidRPr="005B49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F85" w:rsidRPr="005B4978" w:rsidRDefault="007F6F85" w:rsidP="007F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Piemaksu par prombūtnē esošas amatpersonas (darbinieka) aizvietošanu vai vakanta amata (dienesta, darba) pienākumu pildīšanu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F85" w:rsidRPr="005B4978" w:rsidRDefault="00A52299" w:rsidP="00A5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ne vairāk kā 30 %</w:t>
            </w:r>
            <w:r w:rsidR="007F6F85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apmērā no noteiktās mēnešalgas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85" w:rsidRPr="005B4978" w:rsidRDefault="007F6F85" w:rsidP="007F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14.panta 1.,2.-3. un 13.daļa</w:t>
            </w:r>
          </w:p>
        </w:tc>
      </w:tr>
      <w:tr w:rsidR="005B4978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FC0" w:rsidRPr="005B4978" w:rsidRDefault="005B4978" w:rsidP="007F6F8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FC0" w:rsidRPr="005B4978" w:rsidRDefault="00E80FC0" w:rsidP="007F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Piemaksa par papildu pedagoģisko darbu izglītības iestādē, kurā attiecīgā amatpersona ieņem amatu, ja šīs amatpersonas amata pienākumos neietilpst pedagoģiskā darba veikšana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0FC0" w:rsidRPr="005B4978" w:rsidRDefault="00C546C7" w:rsidP="00C54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ne vairāk kā 50 % apmērā no attiecīgajam pedagoga amatam noteiktās mēnešalgas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80FC0" w:rsidRPr="005B4978" w:rsidRDefault="00C546C7" w:rsidP="007F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14.panta 1.,2.-3. un 13.daļa</w:t>
            </w:r>
          </w:p>
        </w:tc>
      </w:tr>
      <w:tr w:rsidR="005B4978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F85" w:rsidRPr="005B4978" w:rsidRDefault="00A42D17" w:rsidP="005B4978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B49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F85" w:rsidRPr="005B4978" w:rsidRDefault="007F6F85" w:rsidP="007F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Piemaksa par personisko darba ieguldījumu un darba kvalitāti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F85" w:rsidRPr="005B4978" w:rsidRDefault="005B4978" w:rsidP="005B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F6F85" w:rsidRPr="005B497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vairāk</w:t>
            </w:r>
            <w:r w:rsidR="007F6F85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kā </w:t>
            </w:r>
            <w:r w:rsidR="007F6F85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="00A52299" w:rsidRPr="005B497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F6F85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no amatpersonai (darbiniekam) noteiktās mēnešalgas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85" w:rsidRPr="005B4978" w:rsidRDefault="007F6F85" w:rsidP="007F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14.panta 12.-13.daļa</w:t>
            </w:r>
          </w:p>
        </w:tc>
      </w:tr>
      <w:tr w:rsidR="005B4978" w:rsidRPr="005B4978" w:rsidTr="008907D9">
        <w:trPr>
          <w:trHeight w:val="225"/>
          <w:tblCellSpacing w:w="15" w:type="dxa"/>
        </w:trPr>
        <w:tc>
          <w:tcPr>
            <w:tcW w:w="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F85" w:rsidRPr="005B4978" w:rsidRDefault="00A42D17" w:rsidP="007F6F8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F85" w:rsidRPr="005B4978" w:rsidRDefault="00A42D17" w:rsidP="007F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Naudas balva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6F85" w:rsidRPr="005B4978" w:rsidRDefault="008907D9" w:rsidP="007F6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B4978">
              <w:rPr>
                <w:rFonts w:ascii="Times New Roman" w:hAnsi="Times New Roman" w:cs="Times New Roman"/>
                <w:sz w:val="24"/>
                <w:szCs w:val="24"/>
              </w:rPr>
              <w:t xml:space="preserve">e vairāk kā </w:t>
            </w:r>
            <w:r w:rsidR="00A52299" w:rsidRPr="005B497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42D17" w:rsidRPr="005B4978">
              <w:rPr>
                <w:rFonts w:ascii="Times New Roman" w:hAnsi="Times New Roman" w:cs="Times New Roman"/>
                <w:sz w:val="24"/>
                <w:szCs w:val="24"/>
              </w:rPr>
              <w:t>ēnešalgas apmērā</w:t>
            </w:r>
            <w:r w:rsidR="005B4978">
              <w:rPr>
                <w:rFonts w:ascii="Times New Roman" w:hAnsi="Times New Roman" w:cs="Times New Roman"/>
                <w:sz w:val="24"/>
                <w:szCs w:val="24"/>
              </w:rPr>
              <w:t xml:space="preserve"> kalendāra gada ietvaros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6F85" w:rsidRPr="005B4978" w:rsidRDefault="00A42D17" w:rsidP="00EA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un pašvaldību institūciju amatpersonu un darbinieku atlīdzības likuma 3.panta </w:t>
            </w:r>
            <w:r w:rsidR="00EA16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ceturtās 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daļas 5.punkts un 3.panta </w:t>
            </w:r>
            <w:r w:rsidR="00EA16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sestā 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daļa</w:t>
            </w:r>
          </w:p>
        </w:tc>
      </w:tr>
      <w:tr w:rsidR="005B4978" w:rsidRPr="005B4978" w:rsidTr="008907D9">
        <w:trPr>
          <w:trHeight w:val="225"/>
          <w:tblCellSpacing w:w="15" w:type="dxa"/>
        </w:trPr>
        <w:tc>
          <w:tcPr>
            <w:tcW w:w="30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4978" w:rsidRPr="005B4978" w:rsidRDefault="005B4978" w:rsidP="007F6F8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3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B4978" w:rsidRPr="005B4978" w:rsidRDefault="005B4978" w:rsidP="007F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Prēmijas</w:t>
            </w: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978" w:rsidRPr="005B4978" w:rsidRDefault="005B4978" w:rsidP="00A5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prēmiju kopējais apmērs attiecīgajai amatpersonai (darbiniekam) kalendāra gada laikā nedrīkst pārsniegt 120 % no mēnešalgas, bet ikreizējās prēmijas apmērs — 60 %  no mēnešalgas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978" w:rsidRPr="005B4978" w:rsidRDefault="005B4978" w:rsidP="00EA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un pašvaldību institūciju amatpersonu un darbinieku atlīdzības likuma 16.panta </w:t>
            </w:r>
            <w:r w:rsidR="00EA16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trešā 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daļa</w:t>
            </w:r>
          </w:p>
        </w:tc>
      </w:tr>
      <w:tr w:rsidR="005B4978" w:rsidRPr="005B4978" w:rsidTr="008907D9">
        <w:trPr>
          <w:trHeight w:val="225"/>
          <w:tblCellSpacing w:w="15" w:type="dxa"/>
        </w:trPr>
        <w:tc>
          <w:tcPr>
            <w:tcW w:w="30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978" w:rsidRPr="005B4978" w:rsidRDefault="005B4978" w:rsidP="007F6F8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978" w:rsidRPr="005B4978" w:rsidRDefault="005B4978" w:rsidP="007F6F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4978" w:rsidRPr="005B4978" w:rsidRDefault="005B4978" w:rsidP="00A52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ne vairāk kā 75% no mēnešalgas</w:t>
            </w:r>
          </w:p>
        </w:tc>
        <w:tc>
          <w:tcPr>
            <w:tcW w:w="2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978" w:rsidRPr="005B4978" w:rsidRDefault="005B4978" w:rsidP="00EA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un pašvaldību institūciju amatpersonu un darbinieku atlīdzības likuma 16.panta </w:t>
            </w:r>
            <w:r w:rsidR="00EA16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otrā 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daļa</w:t>
            </w:r>
          </w:p>
        </w:tc>
      </w:tr>
    </w:tbl>
    <w:p w:rsidR="008907D9" w:rsidRDefault="008907D9" w:rsidP="00B2447C">
      <w:pPr>
        <w:spacing w:before="100" w:beforeAutospacing="1" w:after="100" w:afterAutospacing="1" w:line="36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8907D9" w:rsidRDefault="008907D9" w:rsidP="00B2447C">
      <w:pPr>
        <w:spacing w:before="100" w:beforeAutospacing="1" w:after="100" w:afterAutospacing="1" w:line="36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B2447C" w:rsidRPr="005B4978" w:rsidRDefault="00B2447C" w:rsidP="00B2447C">
      <w:pPr>
        <w:spacing w:before="100" w:beforeAutospacing="1" w:after="100" w:afterAutospacing="1" w:line="360" w:lineRule="auto"/>
        <w:ind w:firstLine="30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B4978">
        <w:rPr>
          <w:rFonts w:ascii="Times New Roman" w:eastAsia="Times New Roman" w:hAnsi="Times New Roman" w:cs="Times New Roman"/>
          <w:sz w:val="24"/>
          <w:szCs w:val="24"/>
          <w:lang w:eastAsia="lv-LV"/>
        </w:rPr>
        <w:t>2. tabula</w:t>
      </w:r>
    </w:p>
    <w:p w:rsidR="00B2447C" w:rsidRPr="005B4978" w:rsidRDefault="00B2447C" w:rsidP="00B2447C">
      <w:pPr>
        <w:spacing w:before="100" w:beforeAutospacing="1" w:after="100" w:afterAutospacing="1" w:line="36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5B497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sociālajām garantijām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6"/>
        <w:gridCol w:w="2007"/>
        <w:gridCol w:w="2992"/>
        <w:gridCol w:w="3440"/>
      </w:tblGrid>
      <w:tr w:rsidR="003259A6" w:rsidRPr="005B4978" w:rsidTr="005161CC">
        <w:trPr>
          <w:trHeight w:val="225"/>
          <w:tblCellSpacing w:w="15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7C" w:rsidRPr="005B4978" w:rsidRDefault="00B2447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 p. k.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7C" w:rsidRPr="005B4978" w:rsidRDefault="00B2447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Sociālās garantijas veids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7C" w:rsidRPr="005B4978" w:rsidRDefault="00B2447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Sociālās garantijas apmērs (</w:t>
            </w:r>
            <w:proofErr w:type="spellStart"/>
            <w:r w:rsidRPr="005B4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%)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7C" w:rsidRPr="005B4978" w:rsidRDefault="00B2447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Piešķiršanas pamatojums vai kritēriji</w:t>
            </w:r>
          </w:p>
        </w:tc>
      </w:tr>
      <w:tr w:rsidR="003259A6" w:rsidRPr="005B4978" w:rsidTr="005161CC">
        <w:trPr>
          <w:trHeight w:val="225"/>
          <w:tblCellSpacing w:w="15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7C" w:rsidRPr="005B4978" w:rsidRDefault="00B2447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7C" w:rsidRPr="005B4978" w:rsidRDefault="00B2447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7C" w:rsidRPr="005B4978" w:rsidRDefault="00B2447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7C" w:rsidRPr="005B4978" w:rsidRDefault="00B2447C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</w:tr>
      <w:tr w:rsidR="003259A6" w:rsidRPr="005B4978" w:rsidTr="007C3D9F">
        <w:trPr>
          <w:trHeight w:val="225"/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D9F" w:rsidRPr="005B4978" w:rsidRDefault="007C3D9F" w:rsidP="007C3D9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Pabalsti</w:t>
            </w:r>
          </w:p>
        </w:tc>
      </w:tr>
      <w:tr w:rsidR="003259A6" w:rsidRPr="005B4978" w:rsidTr="005161CC">
        <w:trPr>
          <w:trHeight w:val="225"/>
          <w:tblCellSpacing w:w="15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702" w:rsidRPr="005B4978" w:rsidRDefault="00C75702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</w:t>
            </w:r>
          </w:p>
          <w:p w:rsidR="00C75702" w:rsidRPr="005B4978" w:rsidRDefault="00C75702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702" w:rsidRPr="005B4978" w:rsidRDefault="00C75702" w:rsidP="00C75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B4978">
              <w:rPr>
                <w:rFonts w:ascii="Times New Roman" w:hAnsi="Times New Roman" w:cs="Times New Roman"/>
                <w:bCs/>
                <w:sz w:val="24"/>
                <w:szCs w:val="24"/>
              </w:rPr>
              <w:t>Atlaišanas vai atvaļināšanas pabalsts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702" w:rsidRPr="005B4978" w:rsidRDefault="00C75702" w:rsidP="00C75702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1) viena mēneša vidējās izpeļņas apmērā, ja amatpersona (darbinieks) valsts vai pašvaldības institūcijās bijusi nepārtraukti nodarbināta mazāk nekā </w:t>
            </w:r>
            <w:r w:rsidR="00A52299" w:rsidRPr="005B497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5B497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gadus;</w:t>
            </w:r>
          </w:p>
          <w:p w:rsidR="00C75702" w:rsidRPr="005B4978" w:rsidRDefault="00C75702" w:rsidP="00C75702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2) divu mēnešu vidējās izpeļņas apmērā, ja amatpersona (darbinieks) valsts vai pašvaldības institūcijās bijusi nepārtraukti nodarbināta piecus līdz 10 gadus</w:t>
            </w:r>
          </w:p>
          <w:p w:rsidR="00C75702" w:rsidRPr="005B4978" w:rsidRDefault="00C75702" w:rsidP="00C75702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3) triju mēnešu vidējās izpeļņas apmērā, ja amatpersona (darbinieks) valsts vai pašvaldības institūcijās bijusi nepārtraukti nodarbināta 10 līdz 20 gadus;</w:t>
            </w:r>
          </w:p>
          <w:p w:rsidR="00C75702" w:rsidRPr="005B4978" w:rsidRDefault="00C75702" w:rsidP="00C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4) četru mēnešu vidējās izpeļņas apmērā, ja amatpersona (darbinieks) valsts vai pašvaldības institūcijās bijusi nepārtraukti nodarbināta vairāk nekā 20 gadus.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702" w:rsidRPr="005B4978" w:rsidRDefault="00C75702" w:rsidP="00C75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17.pants</w:t>
            </w:r>
          </w:p>
        </w:tc>
      </w:tr>
      <w:tr w:rsidR="003259A6" w:rsidRPr="005B4978" w:rsidTr="005161CC">
        <w:trPr>
          <w:trHeight w:val="225"/>
          <w:tblCellSpacing w:w="15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702" w:rsidRPr="005B4978" w:rsidRDefault="00C75702" w:rsidP="00C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1.2.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702" w:rsidRPr="005B4978" w:rsidRDefault="00C75702" w:rsidP="00C7570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bCs/>
                <w:sz w:val="24"/>
                <w:szCs w:val="24"/>
              </w:rPr>
              <w:t>Amatpersonu (darbinieku) ievainojuma, sakropļojuma vai citāda veselības bojājuma gadījumā vai nāves gadījumā izmaksājamais pabalsts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702" w:rsidRPr="005B4978" w:rsidRDefault="00836590" w:rsidP="00836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1) amatpersonu (darbinieku), nāves gadījumā - amatpersonai (darbiniekam) noteiktās mēnešalgas apmērā;</w:t>
            </w:r>
          </w:p>
          <w:p w:rsidR="008C474E" w:rsidRPr="005B4978" w:rsidRDefault="008C474E" w:rsidP="008C4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2) amatpersonas ar speciālo dienesta pakāpi nāves gadījumā - 12 mēnešalgu apmērā, bet ne mazāku kā 10 000 </w:t>
            </w:r>
            <w:proofErr w:type="spellStart"/>
            <w:r w:rsidRPr="005B49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C474E" w:rsidRPr="005B4978" w:rsidRDefault="00836590" w:rsidP="008C474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3) j</w:t>
            </w:r>
            <w:r w:rsidRPr="005B497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a amatpersonas (darbinieki), pildot ar dzīvības vai veselības apdraudējumu (risku) saistītus 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amata (dienesta, darba) pienākumus, ir cietušas nelaimes gadījumā un guvušas ievainojumu vai sakropļojumu</w:t>
            </w:r>
            <w:r w:rsidR="008C474E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un 12 mēnešu laikā ir noteikta invaliditāte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, izmaksā vienreizēju pabalstu: I grupas invalīdam — 71 145 </w:t>
            </w:r>
            <w:proofErr w:type="spellStart"/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; II grupas invalīdam — 35 573 </w:t>
            </w:r>
            <w:proofErr w:type="spellStart"/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; III grupas invalīdam — 14 229 </w:t>
            </w:r>
            <w:proofErr w:type="spellStart"/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  <w:proofErr w:type="spellEnd"/>
            <w:r w:rsidR="008C474E" w:rsidRPr="005B49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474E" w:rsidRPr="005B4978" w:rsidRDefault="008C474E" w:rsidP="008C47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1773E"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amatpersonas (darbinieki), pildot ar dzīvības vai veselības apdraudējumu (risku) saistītus amata (dienesta, darba) pienākumus, ir cietušas nelaimes gadījumā un guvušas ievainojumu vai sakropļojumu, izmaksā vienreizēju pabalstu: smaga veselības bojājuma gadījumā — 10 000 </w:t>
            </w:r>
            <w:proofErr w:type="spellStart"/>
            <w:r w:rsidRPr="005B4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; vidēji smaga veselības bojājuma gadījumā — 5000 </w:t>
            </w:r>
            <w:proofErr w:type="spellStart"/>
            <w:r w:rsidRPr="005B4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; viegla veselības bojājuma gadījumā — 200 </w:t>
            </w:r>
            <w:proofErr w:type="spellStart"/>
            <w:r w:rsidRPr="005B497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:rsidR="008C474E" w:rsidRPr="005B4978" w:rsidRDefault="008C474E" w:rsidP="004C3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5)</w:t>
            </w:r>
            <w:r w:rsidR="004C36BA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amatpersona ar speciālo dienesta pakāpi saņem vienreizēju pabalstu 50 p</w:t>
            </w:r>
            <w:r w:rsidR="00A52299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4C36BA" w:rsidRPr="005B4978">
              <w:rPr>
                <w:rFonts w:ascii="Times New Roman" w:hAnsi="Times New Roman" w:cs="Times New Roman"/>
                <w:sz w:val="24"/>
                <w:szCs w:val="24"/>
              </w:rPr>
              <w:t>apmērā no 3.un</w:t>
            </w:r>
            <w:r w:rsidR="00A52299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6BA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4.punktā norādītā pabalsta, ja tā cietusi nelaimes gadījumā bet nav pildījusi ar dzīvības vai </w:t>
            </w:r>
            <w:r w:rsidR="004C36BA" w:rsidRPr="005B49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veselības apdraudējumu (risku) saistītus dienesta (amata) pienākumus, guvusi ievainojumu vai sakropļojumu;</w:t>
            </w:r>
          </w:p>
          <w:p w:rsidR="004C36BA" w:rsidRPr="005B4978" w:rsidRDefault="004C36BA" w:rsidP="007B1B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6) ja amatpersonu (darbinieku), amata (dienesta, darba) pienākumi ir saistīti ar dzīvības vai veselības apdraudējumu (risku) un tās gājušas bojā vai mirušas gada laikā pēc nelaimes gadījuma tajā gūto ves</w:t>
            </w:r>
            <w:r w:rsidR="007B1B05" w:rsidRPr="005B4978">
              <w:rPr>
                <w:rFonts w:ascii="Times New Roman" w:hAnsi="Times New Roman" w:cs="Times New Roman"/>
                <w:sz w:val="24"/>
                <w:szCs w:val="24"/>
              </w:rPr>
              <w:t>elības bojājumu dēļ -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izmaksā vienreizēju pabalstu 100 000 </w:t>
            </w:r>
            <w:proofErr w:type="spellStart"/>
            <w:r w:rsidRPr="005B49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apmērā.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702" w:rsidRPr="005B4978" w:rsidRDefault="00836590" w:rsidP="0029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Valsts un pašvaldību institūciju amatpersonu un darbinieku atlīdzības likuma </w:t>
            </w:r>
            <w:r w:rsidR="000A1AAE"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 un 23.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pants, MK 2</w:t>
            </w:r>
            <w:r w:rsidR="007225B7"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010.gada 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21.jūnija noteikum</w:t>
            </w:r>
            <w:r w:rsidR="00290EAD"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Nr.565</w:t>
            </w:r>
          </w:p>
        </w:tc>
      </w:tr>
      <w:tr w:rsidR="003259A6" w:rsidRPr="005B4978" w:rsidTr="005161CC">
        <w:trPr>
          <w:trHeight w:val="225"/>
          <w:tblCellSpacing w:w="15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702" w:rsidRPr="005B4978" w:rsidRDefault="00E2069B" w:rsidP="00C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1.3.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702" w:rsidRPr="005B4978" w:rsidRDefault="00E2069B" w:rsidP="00E2069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bCs/>
                <w:sz w:val="24"/>
                <w:szCs w:val="24"/>
              </w:rPr>
              <w:t>Pabalsts sakarā ar ģimenes locekļa vai apgādājamā nāvi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702" w:rsidRPr="005B4978" w:rsidRDefault="00E2069B" w:rsidP="00C75702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vienas minimālās mēneša darba algas apmērā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5702" w:rsidRPr="005B4978" w:rsidRDefault="00E2069B" w:rsidP="00290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20.pants, MK 2010.gaga 21.jūnija noteikum</w:t>
            </w:r>
            <w:r w:rsidR="00290EAD"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Nr.565</w:t>
            </w:r>
          </w:p>
        </w:tc>
      </w:tr>
      <w:tr w:rsidR="003259A6" w:rsidRPr="005B4978" w:rsidTr="005161CC">
        <w:trPr>
          <w:trHeight w:val="225"/>
          <w:tblCellSpacing w:w="15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7C" w:rsidRPr="005B4978" w:rsidRDefault="009C5ECB" w:rsidP="00B7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  <w:r w:rsidR="00B735DB"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447C" w:rsidRPr="005B4978" w:rsidRDefault="009C5ECB" w:rsidP="00C1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Izdienas pabalsts</w:t>
            </w:r>
          </w:p>
          <w:p w:rsidR="002634C8" w:rsidRPr="005B4978" w:rsidRDefault="002634C8" w:rsidP="0026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(šo pabalstu izmaksā sākot ar 2019.gada 1.janvāri)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447C" w:rsidRPr="005B4978" w:rsidRDefault="002634C8" w:rsidP="003335B0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vienreizējais pabalsts triju mēnešalgu apmērā pēc katriem pieciem nepārtrauktas izdienas gadiem Iekšlietu ministrijas sistēmā vai Ieslodzījuma vietu pārvaldē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447C" w:rsidRPr="005B4978" w:rsidRDefault="002634C8" w:rsidP="00290E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un pašvaldību institūciju amatpersonu un darbinieku atlīdzības likuma 25.panta </w:t>
            </w:r>
            <w:r w:rsidR="00290EAD"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ceturtā 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daļa,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Pārejas noteikumi </w:t>
            </w:r>
            <w:hyperlink r:id="rId8" w:anchor="pn6.1" w:tgtFrame="_blank" w:history="1">
              <w:r w:rsidRPr="005B4978">
                <w:rPr>
                  <w:rFonts w:ascii="Times New Roman" w:hAnsi="Times New Roman" w:cs="Times New Roman"/>
                  <w:sz w:val="24"/>
                  <w:szCs w:val="24"/>
                </w:rPr>
                <w:t>6.</w:t>
              </w:r>
              <w:r w:rsidRPr="005B4978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1</w:t>
              </w:r>
              <w:r w:rsidRPr="005B4978">
                <w:rPr>
                  <w:rFonts w:ascii="Times New Roman" w:hAnsi="Times New Roman" w:cs="Times New Roman"/>
                  <w:sz w:val="24"/>
                  <w:szCs w:val="24"/>
                </w:rPr>
                <w:t xml:space="preserve"> punkt</w:t>
              </w:r>
            </w:hyperlink>
            <w:r w:rsidR="00290EAD" w:rsidRPr="005B497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EA161E" w:rsidRPr="005B4978" w:rsidTr="005161CC">
        <w:trPr>
          <w:trHeight w:val="225"/>
          <w:tblCellSpacing w:w="15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61E" w:rsidRPr="005B4978" w:rsidRDefault="00EA161E" w:rsidP="00B7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1.5.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61E" w:rsidRPr="005B4978" w:rsidRDefault="00EA161E" w:rsidP="00C1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Pabalsts, aizejot ikgadējā apmaksātajā atvaļinājumā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61E" w:rsidRPr="005B4978" w:rsidRDefault="00EA161E" w:rsidP="00EA1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% no mēnešalgas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61E" w:rsidRPr="005B4978" w:rsidRDefault="00EA161E" w:rsidP="00EA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un pašvaldību institūciju amatpersonu un darbinieku atlīdzības likuma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.panta ceturtā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daļa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8.punkts</w:t>
            </w:r>
          </w:p>
        </w:tc>
      </w:tr>
      <w:tr w:rsidR="00EA161E" w:rsidRPr="005B4978" w:rsidTr="005161CC">
        <w:trPr>
          <w:trHeight w:val="225"/>
          <w:tblCellSpacing w:w="15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61E" w:rsidRDefault="00EA161E" w:rsidP="00B7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1.6.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61E" w:rsidRDefault="00EA161E" w:rsidP="00C1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Pabalsts par apgādībā esošu bērnu invalīdu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61E" w:rsidRPr="005B4978" w:rsidRDefault="00EA161E" w:rsidP="00605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% no mēnešalgas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61E" w:rsidRPr="005B4978" w:rsidRDefault="00EA161E" w:rsidP="00EA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un pašvaldību institūciju amatpersonu un darbinieku atlīdzības likuma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.panta ceturtā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daļa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7.punkts</w:t>
            </w:r>
          </w:p>
        </w:tc>
      </w:tr>
      <w:tr w:rsidR="00EA161E" w:rsidRPr="005B4978" w:rsidTr="0093730E">
        <w:trPr>
          <w:trHeight w:val="225"/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61E" w:rsidRPr="005B4978" w:rsidRDefault="00EA161E" w:rsidP="0093730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Kompensācijas, mācību izdevumu segšana un apdrošināšana</w:t>
            </w:r>
          </w:p>
        </w:tc>
      </w:tr>
      <w:tr w:rsidR="00EA161E" w:rsidRPr="005B4978" w:rsidTr="005161CC">
        <w:trPr>
          <w:trHeight w:val="225"/>
          <w:tblCellSpacing w:w="15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61E" w:rsidRPr="005B4978" w:rsidRDefault="00EA161E" w:rsidP="00C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61E" w:rsidRPr="005B4978" w:rsidRDefault="00EA161E" w:rsidP="0012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A161E" w:rsidRPr="005B4978" w:rsidRDefault="00EA161E" w:rsidP="0012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A161E" w:rsidRPr="005B4978" w:rsidRDefault="00EA161E" w:rsidP="0012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A161E" w:rsidRPr="005B4978" w:rsidRDefault="00EA161E" w:rsidP="0012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A161E" w:rsidRPr="005B4978" w:rsidRDefault="00EA161E" w:rsidP="0012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Kompensācija mācību izdevumu segšanai</w:t>
            </w:r>
          </w:p>
          <w:p w:rsidR="00EA161E" w:rsidRPr="005B4978" w:rsidRDefault="00EA161E" w:rsidP="00C13D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1F1F1"/>
              </w:rPr>
            </w:pPr>
          </w:p>
          <w:p w:rsidR="00EA161E" w:rsidRPr="005B4978" w:rsidRDefault="00EA161E" w:rsidP="00C13D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1F1F1"/>
              </w:rPr>
            </w:pPr>
          </w:p>
          <w:p w:rsidR="00EA161E" w:rsidRPr="005B4978" w:rsidRDefault="00EA161E" w:rsidP="00C13D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1F1F1"/>
              </w:rPr>
            </w:pPr>
          </w:p>
          <w:p w:rsidR="00EA161E" w:rsidRPr="005B4978" w:rsidRDefault="00EA161E" w:rsidP="00C1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61E" w:rsidRPr="005B4978" w:rsidRDefault="00EA161E" w:rsidP="00A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1E" w:rsidRPr="005B4978" w:rsidRDefault="00EA161E" w:rsidP="00A3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1E" w:rsidRPr="005B4978" w:rsidRDefault="00EA161E" w:rsidP="00A360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līdz 30 % no gada mācību maksas</w:t>
            </w:r>
          </w:p>
          <w:p w:rsidR="00EA161E" w:rsidRPr="005B4978" w:rsidRDefault="00EA161E" w:rsidP="00A360B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</w:pPr>
          </w:p>
          <w:p w:rsidR="00EA161E" w:rsidRPr="005B4978" w:rsidRDefault="00EA161E" w:rsidP="0012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  <w:shd w:val="clear" w:color="auto" w:fill="F1F1F1"/>
              </w:rPr>
              <w:lastRenderedPageBreak/>
              <w:t xml:space="preserve"> 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61E" w:rsidRPr="005B4978" w:rsidRDefault="00EA161E" w:rsidP="00932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Valsts un pašvaldību institūciju amatpersonu un darbinieku atlīdzības likuma 26.panta pirmā daļa; ja amatpersona (darbinieks) pēc institūcijas iniciatīvas vai savstarpējās vienošanās sekmīgi mācās valsts akreditētā augstākās izglītības iestādē vai ārvalsts 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mācību iestādē, kuras izdotie diplomi tiek atzīti Latvijā, lai iegūtu amata (dienesta) pienākumu izpildei nepieciešamās speciālās zināšanas</w:t>
            </w:r>
          </w:p>
        </w:tc>
      </w:tr>
      <w:tr w:rsidR="00EA161E" w:rsidRPr="005B4978" w:rsidTr="005161CC">
        <w:trPr>
          <w:trHeight w:val="225"/>
          <w:tblCellSpacing w:w="15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61E" w:rsidRPr="005B4978" w:rsidRDefault="00EA161E" w:rsidP="00C75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2.2.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61E" w:rsidRPr="005B4978" w:rsidRDefault="00EA161E" w:rsidP="0012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A161E" w:rsidRPr="005B4978" w:rsidRDefault="00EA161E" w:rsidP="00126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A161E" w:rsidRPr="005B4978" w:rsidRDefault="00EA161E" w:rsidP="0060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Kvalifikācijas paaugstināšanas izdevumu segšana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61E" w:rsidRPr="005B4978" w:rsidRDefault="00EA161E" w:rsidP="003335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1E" w:rsidRPr="005B4978" w:rsidRDefault="00EA161E" w:rsidP="00333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978">
              <w:rPr>
                <w:rFonts w:ascii="Times New Roman" w:hAnsi="Times New Roman" w:cs="Times New Roman"/>
                <w:sz w:val="24"/>
                <w:szCs w:val="24"/>
              </w:rPr>
              <w:t>mācību izdevumu kompensācija, saglabājot mēnešalgu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61E" w:rsidRPr="005B4978" w:rsidRDefault="00EA161E" w:rsidP="0060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EA161E" w:rsidRPr="005B4978" w:rsidRDefault="00EA161E" w:rsidP="00600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27.panta pirmā daļa</w:t>
            </w:r>
          </w:p>
        </w:tc>
      </w:tr>
      <w:tr w:rsidR="00EA161E" w:rsidRPr="005B4978" w:rsidTr="005161CC">
        <w:trPr>
          <w:trHeight w:val="225"/>
          <w:tblCellSpacing w:w="15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61E" w:rsidRPr="005B4978" w:rsidRDefault="00EA161E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2.9.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61E" w:rsidRPr="005B4978" w:rsidRDefault="00EA161E" w:rsidP="00C1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apdrošināšana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161E" w:rsidRPr="005B4978" w:rsidRDefault="00B7212C" w:rsidP="00557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apdrošinājuma summa 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161E" w:rsidRPr="005B4978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="00EA161E" w:rsidRPr="005B4978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161E" w:rsidRPr="005B4978" w:rsidRDefault="00EA161E" w:rsidP="00E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37.panta pirmā un otrā daļa</w:t>
            </w:r>
          </w:p>
        </w:tc>
      </w:tr>
      <w:tr w:rsidR="00A04E21" w:rsidRPr="005B4978" w:rsidTr="00A04E21">
        <w:trPr>
          <w:trHeight w:val="225"/>
          <w:tblCellSpacing w:w="15" w:type="dxa"/>
        </w:trPr>
        <w:tc>
          <w:tcPr>
            <w:tcW w:w="496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E21" w:rsidRPr="00A04E21" w:rsidRDefault="00A04E21" w:rsidP="00A04E2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04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Citas sociālās garantijas</w:t>
            </w:r>
          </w:p>
        </w:tc>
      </w:tr>
      <w:tr w:rsidR="00A04E21" w:rsidRPr="005B4978" w:rsidTr="005161CC">
        <w:trPr>
          <w:trHeight w:val="225"/>
          <w:tblCellSpacing w:w="15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E21" w:rsidRPr="005B4978" w:rsidRDefault="00A04E21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3.1.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E21" w:rsidRPr="005B4978" w:rsidRDefault="00A04E21" w:rsidP="00C1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Arial" w:hAnsi="Arial" w:cs="Arial"/>
              </w:rPr>
              <w:t>A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pmaksātas brīvdienas sakarā ar stāšanos laulībā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E21" w:rsidRPr="005B4978" w:rsidRDefault="00A04E21" w:rsidP="00557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 vairāk kā trīs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E21" w:rsidRPr="005B4978" w:rsidRDefault="00A04E21" w:rsidP="00E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un pašvaldību institūciju amatpersonu un darbinieku atlīdzības likuma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.panta ceturtā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daļa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3.punkts</w:t>
            </w:r>
          </w:p>
        </w:tc>
      </w:tr>
      <w:tr w:rsidR="00A04E21" w:rsidRPr="005B4978" w:rsidTr="005161CC">
        <w:trPr>
          <w:trHeight w:val="225"/>
          <w:tblCellSpacing w:w="15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E21" w:rsidRPr="005B4978" w:rsidRDefault="00A04E21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E21" w:rsidRPr="005B4978" w:rsidRDefault="00A04E21" w:rsidP="00C13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04E21">
              <w:rPr>
                <w:rFonts w:ascii="Times New Roman" w:hAnsi="Times New Roman" w:cs="Times New Roman"/>
                <w:sz w:val="24"/>
                <w:szCs w:val="24"/>
              </w:rPr>
              <w:t>pmaksāta brīvdiena pirmajā skolas dienā sakarā ar bērna skolas gaitu uzsākšanu 1. — 4.klasē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4E21" w:rsidRPr="005B4978" w:rsidRDefault="005B2445" w:rsidP="005577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04E21">
              <w:rPr>
                <w:rFonts w:ascii="Times New Roman" w:hAnsi="Times New Roman" w:cs="Times New Roman"/>
                <w:sz w:val="24"/>
                <w:szCs w:val="24"/>
              </w:rPr>
              <w:t>iena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4E21" w:rsidRPr="005B4978" w:rsidRDefault="00A04E21" w:rsidP="00E95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un pašvaldību institūciju amatpersonu un darbinieku atlīdzības likuma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.panta ceturtā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5B497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daļa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2.punkts</w:t>
            </w:r>
          </w:p>
        </w:tc>
      </w:tr>
      <w:tr w:rsidR="00DD7AA3" w:rsidRPr="005B4978" w:rsidTr="005161CC">
        <w:trPr>
          <w:trHeight w:val="225"/>
          <w:tblCellSpacing w:w="15" w:type="dxa"/>
        </w:trPr>
        <w:tc>
          <w:tcPr>
            <w:tcW w:w="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AA3" w:rsidRDefault="00DD7AA3" w:rsidP="00B2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3.3.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AA3" w:rsidRPr="008E53C7" w:rsidRDefault="00A303A6" w:rsidP="00A303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</w:t>
            </w:r>
            <w:r w:rsidRPr="008E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ienu apmaksātu brīvdienu izlaiduma dienā, amatpersonai (darbiniekam) vai tās bērnam absolvējot izglītības iestādi</w:t>
            </w:r>
          </w:p>
        </w:tc>
        <w:tc>
          <w:tcPr>
            <w:tcW w:w="1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7AA3" w:rsidRPr="008E53C7" w:rsidRDefault="00394845" w:rsidP="005577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53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Viena</w:t>
            </w:r>
          </w:p>
        </w:tc>
        <w:tc>
          <w:tcPr>
            <w:tcW w:w="1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7AA3" w:rsidRPr="008E53C7" w:rsidRDefault="00394845" w:rsidP="00A30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8E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Valsts un pašvaldību institūciju amatpersonu un darbinieku atlīdzības likuma 3.panta ceturtās daļas </w:t>
            </w:r>
            <w:r w:rsidR="00A303A6" w:rsidRPr="008E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  <w:r w:rsidRPr="008E53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.punkts</w:t>
            </w:r>
          </w:p>
        </w:tc>
      </w:tr>
    </w:tbl>
    <w:p w:rsidR="00C13DA0" w:rsidRPr="003259A6" w:rsidRDefault="00C13DA0">
      <w:pPr>
        <w:rPr>
          <w:rFonts w:ascii="Arial" w:eastAsia="Times New Roman" w:hAnsi="Arial" w:cs="Arial"/>
          <w:sz w:val="20"/>
          <w:szCs w:val="20"/>
          <w:lang w:eastAsia="lv-LV"/>
        </w:rPr>
      </w:pPr>
    </w:p>
    <w:p w:rsidR="00C13DA0" w:rsidRPr="003259A6" w:rsidRDefault="00C13DA0">
      <w:pPr>
        <w:rPr>
          <w:rFonts w:ascii="Arial" w:hAnsi="Arial" w:cs="Arial"/>
          <w:sz w:val="20"/>
          <w:szCs w:val="20"/>
        </w:rPr>
      </w:pPr>
    </w:p>
    <w:sectPr w:rsidR="00C13DA0" w:rsidRPr="003259A6" w:rsidSect="006008B4">
      <w:headerReference w:type="defaul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48" w:rsidRDefault="00C80348" w:rsidP="006008B4">
      <w:pPr>
        <w:spacing w:after="0" w:line="240" w:lineRule="auto"/>
      </w:pPr>
      <w:r>
        <w:separator/>
      </w:r>
    </w:p>
  </w:endnote>
  <w:endnote w:type="continuationSeparator" w:id="0">
    <w:p w:rsidR="00C80348" w:rsidRDefault="00C80348" w:rsidP="00600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48" w:rsidRDefault="00C80348" w:rsidP="006008B4">
      <w:pPr>
        <w:spacing w:after="0" w:line="240" w:lineRule="auto"/>
      </w:pPr>
      <w:r>
        <w:separator/>
      </w:r>
    </w:p>
  </w:footnote>
  <w:footnote w:type="continuationSeparator" w:id="0">
    <w:p w:rsidR="00C80348" w:rsidRDefault="00C80348" w:rsidP="00600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7188054"/>
      <w:docPartObj>
        <w:docPartGallery w:val="Page Numbers (Top of Page)"/>
        <w:docPartUnique/>
      </w:docPartObj>
    </w:sdtPr>
    <w:sdtEndPr/>
    <w:sdtContent>
      <w:p w:rsidR="006008B4" w:rsidRDefault="006008B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12C">
          <w:rPr>
            <w:noProof/>
          </w:rPr>
          <w:t>3</w:t>
        </w:r>
        <w:r>
          <w:fldChar w:fldCharType="end"/>
        </w:r>
      </w:p>
    </w:sdtContent>
  </w:sdt>
  <w:p w:rsidR="006008B4" w:rsidRDefault="006008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504F3"/>
    <w:multiLevelType w:val="hybridMultilevel"/>
    <w:tmpl w:val="C57EED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F62F5"/>
    <w:multiLevelType w:val="hybridMultilevel"/>
    <w:tmpl w:val="C916E6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7C"/>
    <w:rsid w:val="000A1AAE"/>
    <w:rsid w:val="0012678F"/>
    <w:rsid w:val="001A45BF"/>
    <w:rsid w:val="002634C8"/>
    <w:rsid w:val="002635BB"/>
    <w:rsid w:val="00290EAD"/>
    <w:rsid w:val="00295BF7"/>
    <w:rsid w:val="002E73C7"/>
    <w:rsid w:val="00301669"/>
    <w:rsid w:val="00312C64"/>
    <w:rsid w:val="00317BE6"/>
    <w:rsid w:val="003259A6"/>
    <w:rsid w:val="003335B0"/>
    <w:rsid w:val="00394845"/>
    <w:rsid w:val="003C635C"/>
    <w:rsid w:val="004972B1"/>
    <w:rsid w:val="004C36BA"/>
    <w:rsid w:val="0050195E"/>
    <w:rsid w:val="005161CC"/>
    <w:rsid w:val="00524459"/>
    <w:rsid w:val="005367D1"/>
    <w:rsid w:val="00557751"/>
    <w:rsid w:val="00584920"/>
    <w:rsid w:val="005B2445"/>
    <w:rsid w:val="005B4978"/>
    <w:rsid w:val="005D5226"/>
    <w:rsid w:val="006008B4"/>
    <w:rsid w:val="00645F0A"/>
    <w:rsid w:val="00665BDB"/>
    <w:rsid w:val="00703EDB"/>
    <w:rsid w:val="007225B7"/>
    <w:rsid w:val="007B1B05"/>
    <w:rsid w:val="007B64D9"/>
    <w:rsid w:val="007C3D9F"/>
    <w:rsid w:val="007F6F85"/>
    <w:rsid w:val="008164C4"/>
    <w:rsid w:val="00836590"/>
    <w:rsid w:val="008907D9"/>
    <w:rsid w:val="008C474E"/>
    <w:rsid w:val="008E53C7"/>
    <w:rsid w:val="00900CD1"/>
    <w:rsid w:val="0091688C"/>
    <w:rsid w:val="00932C3F"/>
    <w:rsid w:val="0093730E"/>
    <w:rsid w:val="0094563E"/>
    <w:rsid w:val="0096243A"/>
    <w:rsid w:val="009727CE"/>
    <w:rsid w:val="009C5ECB"/>
    <w:rsid w:val="00A016FC"/>
    <w:rsid w:val="00A04E21"/>
    <w:rsid w:val="00A22289"/>
    <w:rsid w:val="00A303A6"/>
    <w:rsid w:val="00A360B0"/>
    <w:rsid w:val="00A42D17"/>
    <w:rsid w:val="00A52299"/>
    <w:rsid w:val="00A53C77"/>
    <w:rsid w:val="00AA0B47"/>
    <w:rsid w:val="00B2447C"/>
    <w:rsid w:val="00B40D74"/>
    <w:rsid w:val="00B7212C"/>
    <w:rsid w:val="00B735DB"/>
    <w:rsid w:val="00BE2C3E"/>
    <w:rsid w:val="00C02101"/>
    <w:rsid w:val="00C13DA0"/>
    <w:rsid w:val="00C31531"/>
    <w:rsid w:val="00C546C7"/>
    <w:rsid w:val="00C75702"/>
    <w:rsid w:val="00C80348"/>
    <w:rsid w:val="00C85A17"/>
    <w:rsid w:val="00CD59E8"/>
    <w:rsid w:val="00D05AC1"/>
    <w:rsid w:val="00DD7AA3"/>
    <w:rsid w:val="00E119B7"/>
    <w:rsid w:val="00E2069B"/>
    <w:rsid w:val="00E37B99"/>
    <w:rsid w:val="00E7648A"/>
    <w:rsid w:val="00E80FC0"/>
    <w:rsid w:val="00E95A18"/>
    <w:rsid w:val="00EA161E"/>
    <w:rsid w:val="00EC6D86"/>
    <w:rsid w:val="00F1773E"/>
    <w:rsid w:val="00F45F3C"/>
    <w:rsid w:val="00F5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9CA5E"/>
  <w15:docId w15:val="{4F8822ED-30B0-4DCC-99C0-EFD0FB04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64D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3D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8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8B4"/>
  </w:style>
  <w:style w:type="paragraph" w:styleId="Footer">
    <w:name w:val="footer"/>
    <w:basedOn w:val="Normal"/>
    <w:link w:val="FooterChar"/>
    <w:uiPriority w:val="99"/>
    <w:unhideWhenUsed/>
    <w:rsid w:val="006008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0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6841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984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1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1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5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549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2022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1533-4F26-438A-9FC2-D56FA22F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5394</Words>
  <Characters>3075</Characters>
  <Application>Microsoft Office Word</Application>
  <DocSecurity>0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Valsts policija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Veide</dc:creator>
  <cp:lastModifiedBy>Andra Vīnupe</cp:lastModifiedBy>
  <cp:revision>9</cp:revision>
  <dcterms:created xsi:type="dcterms:W3CDTF">2022-04-27T08:37:00Z</dcterms:created>
  <dcterms:modified xsi:type="dcterms:W3CDTF">2022-04-27T14:02:00Z</dcterms:modified>
</cp:coreProperties>
</file>